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cs="Arial" w:ascii="Verdana" w:hAnsi="Verdana"/>
          <w:b/>
          <w:bCs/>
          <w:sz w:val="20"/>
          <w:szCs w:val="20"/>
        </w:rPr>
        <w:t xml:space="preserve">ANEXO I - </w:t>
      </w:r>
      <w:r>
        <w:rPr>
          <w:rFonts w:cs="Arial" w:ascii="Verdana" w:hAnsi="Verdana"/>
          <w:b/>
          <w:bCs/>
          <w:sz w:val="20"/>
          <w:szCs w:val="20"/>
        </w:rPr>
        <w:t>TERMO DE REFERÊNCIA</w:t>
      </w:r>
    </w:p>
    <w:p>
      <w:pPr>
        <w:pStyle w:val="Normal"/>
        <w:spacing w:lineRule="auto" w:line="240"/>
        <w:jc w:val="center"/>
        <w:rPr>
          <w:rFonts w:ascii="Verdana" w:hAnsi="Verdana" w:cs="Arial"/>
          <w:b/>
          <w:sz w:val="20"/>
          <w:szCs w:val="20"/>
          <w:u w:val="single"/>
        </w:rPr>
      </w:pPr>
      <w:r>
        <w:rPr>
          <w:rFonts w:cs="Arial" w:ascii="Verdana" w:hAnsi="Verdana"/>
          <w:b/>
          <w:sz w:val="20"/>
          <w:szCs w:val="20"/>
          <w:u w:val="single"/>
        </w:rPr>
      </w:r>
    </w:p>
    <w:p>
      <w:pPr>
        <w:pStyle w:val="Normal"/>
        <w:spacing w:lineRule="auto" w:line="240"/>
        <w:jc w:val="center"/>
        <w:rPr>
          <w:rFonts w:ascii="Verdana" w:hAnsi="Verdana"/>
          <w:sz w:val="20"/>
          <w:szCs w:val="20"/>
        </w:rPr>
      </w:pPr>
      <w:r>
        <w:rPr>
          <w:rFonts w:eastAsia="Times New Roman" w:cs="Arial" w:ascii="Verdana" w:hAnsi="Verdana"/>
          <w:b/>
          <w:bCs/>
          <w:iCs/>
          <w:color w:val="000000"/>
          <w:kern w:val="0"/>
          <w:sz w:val="20"/>
          <w:szCs w:val="20"/>
          <w:lang w:val="pt-BR" w:eastAsia="pt-BR" w:bidi="ar-SA"/>
        </w:rPr>
        <w:t>CONTRATAÇÃO DE EMPRESA ESPECIALIZADA EM SERVIÇOS DE TRANSPORTE ESCOLAR</w:t>
      </w:r>
    </w:p>
    <w:p>
      <w:pPr>
        <w:pStyle w:val="Normal"/>
        <w:spacing w:lineRule="auto" w:line="240"/>
        <w:jc w:val="center"/>
        <w:rPr>
          <w:rFonts w:ascii="Verdana" w:hAnsi="Verdana"/>
          <w:sz w:val="20"/>
          <w:szCs w:val="20"/>
        </w:rPr>
      </w:pPr>
      <w:r>
        <w:rPr>
          <w:rFonts w:ascii="Verdana" w:hAnsi="Verdana"/>
          <w:sz w:val="20"/>
          <w:szCs w:val="20"/>
        </w:rPr>
      </w:r>
    </w:p>
    <w:p>
      <w:pPr>
        <w:pStyle w:val="Normal"/>
        <w:spacing w:lineRule="auto" w:line="240"/>
        <w:jc w:val="center"/>
        <w:rPr>
          <w:rFonts w:ascii="Verdana" w:hAnsi="Verdana"/>
          <w:sz w:val="20"/>
          <w:szCs w:val="20"/>
        </w:rPr>
      </w:pPr>
      <w:r>
        <w:rPr>
          <w:rFonts w:ascii="Verdana" w:hAnsi="Verdana"/>
          <w:b/>
          <w:bCs/>
          <w:sz w:val="20"/>
          <w:szCs w:val="20"/>
        </w:rPr>
        <w:t xml:space="preserve">Processo Administrativo nº </w:t>
      </w:r>
      <w:r>
        <w:rPr>
          <w:rFonts w:eastAsia="Times New Roman" w:cs="Times New Roman" w:ascii="Verdana" w:hAnsi="Verdana"/>
          <w:b/>
          <w:bCs/>
          <w:sz w:val="20"/>
          <w:szCs w:val="20"/>
        </w:rPr>
        <w:t>001695</w:t>
      </w:r>
      <w:r>
        <w:rPr>
          <w:rFonts w:ascii="Verdana" w:hAnsi="Verdana"/>
          <w:b/>
          <w:bCs/>
          <w:sz w:val="20"/>
          <w:szCs w:val="20"/>
        </w:rPr>
        <w:t xml:space="preserve">/2025 de 06 de março de 2025 – Secretaria Municipal de </w:t>
      </w:r>
      <w:r>
        <w:rPr>
          <w:rFonts w:eastAsia="Times New Roman" w:cs="Times New Roman" w:ascii="Verdana" w:hAnsi="Verdana"/>
          <w:b/>
          <w:bCs/>
          <w:color w:val="auto"/>
          <w:kern w:val="0"/>
          <w:sz w:val="20"/>
          <w:szCs w:val="20"/>
          <w:lang w:val="pt-BR" w:eastAsia="pt-BR" w:bidi="ar-SA"/>
        </w:rPr>
        <w:t>Educação</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cs="Arial" w:ascii="Verdana" w:hAnsi="Verdana"/>
          <w:b/>
          <w:bCs/>
          <w:sz w:val="20"/>
          <w:szCs w:val="20"/>
        </w:rPr>
        <w:t>1. OBJETO</w:t>
      </w:r>
    </w:p>
    <w:p>
      <w:pPr>
        <w:pStyle w:val="Normal"/>
        <w:spacing w:lineRule="auto" w:line="240"/>
        <w:jc w:val="both"/>
        <w:rPr>
          <w:rFonts w:ascii="Verdana" w:hAnsi="Verdana"/>
          <w:sz w:val="20"/>
          <w:szCs w:val="20"/>
        </w:rPr>
      </w:pPr>
      <w:r>
        <w:rPr>
          <w:rFonts w:cs="Arial" w:ascii="Verdana" w:hAnsi="Verdana"/>
          <w:sz w:val="20"/>
          <w:szCs w:val="20"/>
        </w:rPr>
        <w:t>1.1. Contratação</w:t>
      </w:r>
      <w:r>
        <w:rPr>
          <w:rFonts w:cs="Arial" w:ascii="Verdana" w:hAnsi="Verdana"/>
          <w:b/>
          <w:bCs/>
          <w:sz w:val="20"/>
          <w:szCs w:val="20"/>
        </w:rPr>
        <w:t xml:space="preserve"> </w:t>
      </w:r>
      <w:r>
        <w:rPr>
          <w:rFonts w:cs="Arial" w:ascii="Verdana" w:hAnsi="Verdana"/>
          <w:sz w:val="20"/>
          <w:szCs w:val="20"/>
        </w:rPr>
        <w:t xml:space="preserve">de empresa especializada para a prestação de serviços de transporte escolar, com fornecimento de mão de obra, no Município de São Gabriel da Palha, conforme especificações e quantidades detalhadas </w:t>
      </w:r>
      <w:r>
        <w:rPr>
          <w:rFonts w:cs="Arial" w:ascii="Verdana" w:hAnsi="Verdana"/>
          <w:sz w:val="20"/>
          <w:szCs w:val="20"/>
          <w:lang w:eastAsia="pt-BR"/>
        </w:rPr>
        <w:t>neste Estudo Técnico Preliminar</w:t>
      </w:r>
      <w:r>
        <w:rPr>
          <w:rFonts w:eastAsia="Times New Roman" w:cs="Arial" w:ascii="Verdana" w:hAnsi="Verdana"/>
          <w:b w:val="false"/>
          <w:bCs w:val="false"/>
          <w:sz w:val="20"/>
          <w:szCs w:val="20"/>
        </w:rPr>
        <w:t xml:space="preserve">, </w:t>
      </w:r>
      <w:r>
        <w:rPr>
          <w:rFonts w:cs="Arial" w:ascii="Verdana" w:hAnsi="Verdana"/>
          <w:b w:val="false"/>
          <w:bCs w:val="false"/>
          <w:sz w:val="20"/>
          <w:szCs w:val="20"/>
        </w:rPr>
        <w:t>de acordo com os c</w:t>
      </w:r>
      <w:r>
        <w:rPr>
          <w:rFonts w:cs="Arial" w:ascii="Verdana" w:hAnsi="Verdana"/>
          <w:sz w:val="20"/>
          <w:szCs w:val="20"/>
        </w:rPr>
        <w:t>ritérios e condições estabelecidas neste Termo de Referência, ETP e seus Anexos.</w:t>
      </w:r>
    </w:p>
    <w:p>
      <w:pPr>
        <w:pStyle w:val="Normal"/>
        <w:spacing w:lineRule="auto" w:line="240"/>
        <w:jc w:val="both"/>
        <w:rPr>
          <w:rFonts w:ascii="Verdana" w:hAnsi="Verdana"/>
          <w:sz w:val="20"/>
          <w:szCs w:val="20"/>
        </w:rPr>
      </w:pPr>
      <w:r>
        <w:rPr>
          <w:rFonts w:ascii="Verdana" w:hAnsi="Verdana"/>
          <w:sz w:val="20"/>
          <w:szCs w:val="20"/>
        </w:rPr>
      </w:r>
    </w:p>
    <w:tbl>
      <w:tblPr>
        <w:tblW w:w="9750" w:type="dxa"/>
        <w:jc w:val="left"/>
        <w:tblInd w:w="-16" w:type="dxa"/>
        <w:tblLayout w:type="fixed"/>
        <w:tblCellMar>
          <w:top w:w="55" w:type="dxa"/>
          <w:left w:w="55" w:type="dxa"/>
          <w:bottom w:w="55" w:type="dxa"/>
          <w:right w:w="55" w:type="dxa"/>
        </w:tblCellMar>
      </w:tblPr>
      <w:tblGrid>
        <w:gridCol w:w="731"/>
        <w:gridCol w:w="3064"/>
        <w:gridCol w:w="1236"/>
        <w:gridCol w:w="1638"/>
        <w:gridCol w:w="1478"/>
        <w:gridCol w:w="1602"/>
      </w:tblGrid>
      <w:tr>
        <w:trPr/>
        <w:tc>
          <w:tcPr>
            <w:tcW w:w="731" w:type="dxa"/>
            <w:tcBorders>
              <w:top w:val="single" w:sz="4" w:space="0" w:color="000000"/>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ITEM</w:t>
            </w:r>
          </w:p>
        </w:tc>
        <w:tc>
          <w:tcPr>
            <w:tcW w:w="3064" w:type="dxa"/>
            <w:tcBorders>
              <w:top w:val="single" w:sz="4" w:space="0" w:color="000000"/>
              <w:left w:val="single" w:sz="4" w:space="0" w:color="000000"/>
              <w:bottom w:val="single" w:sz="4" w:space="0" w:color="000000"/>
            </w:tcBorders>
          </w:tcPr>
          <w:p>
            <w:pPr>
              <w:pStyle w:val="Contedodatabela"/>
              <w:widowControl w:val="false"/>
              <w:tabs>
                <w:tab w:val="clear" w:pos="708"/>
              </w:tabs>
              <w:spacing w:lineRule="auto" w:line="240"/>
              <w:jc w:val="center"/>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DESCRIÇÃO</w:t>
            </w:r>
          </w:p>
        </w:tc>
        <w:tc>
          <w:tcPr>
            <w:tcW w:w="1236" w:type="dxa"/>
            <w:tcBorders>
              <w:top w:val="single" w:sz="4" w:space="0" w:color="000000"/>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UNIDADE</w:t>
            </w:r>
          </w:p>
        </w:tc>
        <w:tc>
          <w:tcPr>
            <w:tcW w:w="1638" w:type="dxa"/>
            <w:tcBorders>
              <w:top w:val="single" w:sz="4" w:space="0" w:color="000000"/>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QUANTIDADE</w:t>
            </w:r>
          </w:p>
        </w:tc>
        <w:tc>
          <w:tcPr>
            <w:tcW w:w="1478" w:type="dxa"/>
            <w:tcBorders>
              <w:top w:val="single" w:sz="4" w:space="0" w:color="000000"/>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VALOR ESTIMADO UNITÁRIO</w:t>
            </w:r>
          </w:p>
        </w:tc>
        <w:tc>
          <w:tcPr>
            <w:tcW w:w="1602" w:type="dxa"/>
            <w:tcBorders>
              <w:top w:val="single" w:sz="4" w:space="0" w:color="000000"/>
              <w:left w:val="single" w:sz="4" w:space="0" w:color="000000"/>
              <w:bottom w:val="single" w:sz="4" w:space="0" w:color="000000"/>
              <w:right w:val="single" w:sz="4" w:space="0" w:color="000000"/>
            </w:tcBorders>
          </w:tcPr>
          <w:p>
            <w:pPr>
              <w:pStyle w:val="Contedodatabela"/>
              <w:widowControl w:val="false"/>
              <w:tabs>
                <w:tab w:val="clear" w:pos="708"/>
              </w:tabs>
              <w:spacing w:lineRule="auto" w:line="240"/>
              <w:jc w:val="left"/>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VALOR ESTIMADO TOTAL</w:t>
            </w:r>
          </w:p>
        </w:tc>
      </w:tr>
      <w:tr>
        <w:trPr/>
        <w:tc>
          <w:tcPr>
            <w:tcW w:w="731" w:type="dxa"/>
            <w:tcBorders>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01</w:t>
            </w:r>
          </w:p>
        </w:tc>
        <w:tc>
          <w:tcPr>
            <w:tcW w:w="3064" w:type="dxa"/>
            <w:tcBorders>
              <w:left w:val="single" w:sz="4" w:space="0" w:color="000000"/>
              <w:bottom w:val="single" w:sz="4" w:space="0" w:color="000000"/>
            </w:tcBorders>
          </w:tcPr>
          <w:p>
            <w:pPr>
              <w:pStyle w:val="Normal"/>
              <w:widowControl w:val="false"/>
              <w:spacing w:lineRule="auto" w:line="240"/>
              <w:jc w:val="both"/>
              <w:rPr>
                <w:rFonts w:ascii="Verdana" w:hAnsi="Verdana"/>
                <w:sz w:val="20"/>
                <w:szCs w:val="20"/>
              </w:rPr>
            </w:pPr>
            <w:r>
              <w:rPr>
                <w:rFonts w:ascii="Verdana" w:hAnsi="Verdana"/>
                <w:sz w:val="20"/>
                <w:szCs w:val="20"/>
              </w:rPr>
              <w:t xml:space="preserve">Contratação de 01 (um) veículo, tipo van em perfeito estado de uso e conservação, estando com as devidas vistorias e revisões em dia, devendo estar credenciado pelo Departamento Estadual de Trânsito do Espírito Santo – DETRAN/ES, capacidade para no mínimo 08 (oito) passageiros, com um (1) operador, sendo um condutor, para o Transporte Escolar Rural dos alunos do Ensino Fundamental e Médio EJA, turno noturno, conforme anexo I, item 01, </w:t>
            </w:r>
            <w:r>
              <w:rPr>
                <w:rFonts w:ascii="Verdana" w:hAnsi="Verdana"/>
                <w:b/>
                <w:bCs/>
                <w:sz w:val="20"/>
                <w:szCs w:val="20"/>
              </w:rPr>
              <w:t xml:space="preserve">com vigência de 12 meses </w:t>
            </w:r>
            <w:r>
              <w:rPr>
                <w:rFonts w:ascii="Verdana" w:hAnsi="Verdana"/>
                <w:sz w:val="20"/>
                <w:szCs w:val="20"/>
              </w:rPr>
              <w:t>a partir da assinatura do contrato, na linha:</w:t>
            </w:r>
          </w:p>
          <w:p>
            <w:pPr>
              <w:pStyle w:val="Normal"/>
              <w:widowControl w:val="false"/>
              <w:spacing w:lineRule="auto" w:line="240"/>
              <w:jc w:val="both"/>
              <w:rPr>
                <w:rFonts w:ascii="Verdana" w:hAnsi="Verdana"/>
                <w:sz w:val="20"/>
                <w:szCs w:val="20"/>
              </w:rPr>
            </w:pPr>
            <w:r>
              <w:rPr>
                <w:rFonts w:eastAsia="Calibri" w:cs="Arial" w:ascii="Verdana" w:hAnsi="Verdana"/>
                <w:b/>
                <w:bCs/>
                <w:color w:val="000000"/>
                <w:sz w:val="20"/>
                <w:szCs w:val="20"/>
              </w:rPr>
              <w:t>Linha Nº 020 – São José, noturno, com 26,8 km diários.</w:t>
            </w:r>
          </w:p>
        </w:tc>
        <w:tc>
          <w:tcPr>
            <w:tcW w:w="1236" w:type="dxa"/>
            <w:tcBorders>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Serv.</w:t>
            </w:r>
          </w:p>
        </w:tc>
        <w:tc>
          <w:tcPr>
            <w:tcW w:w="1638" w:type="dxa"/>
            <w:tcBorders>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rPr>
            </w:pPr>
            <w:r>
              <w:rPr>
                <w:rFonts w:ascii="Verdana" w:hAnsi="Verdana"/>
                <w:b w:val="false"/>
                <w:bCs w:val="false"/>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rPr>
              <w:t>5.467,20 km</w:t>
            </w:r>
          </w:p>
        </w:tc>
        <w:tc>
          <w:tcPr>
            <w:tcW w:w="1478" w:type="dxa"/>
            <w:tcBorders>
              <w:left w:val="single" w:sz="4" w:space="0" w:color="000000"/>
              <w:bottom w:val="single" w:sz="4" w:space="0" w:color="000000"/>
            </w:tcBorders>
          </w:tcPr>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shd w:fill="auto" w:val="clear"/>
              </w:rPr>
            </w:pPr>
            <w:r>
              <w:rPr>
                <w:rFonts w:ascii="Verdana" w:hAnsi="Verdana"/>
                <w:b w:val="false"/>
                <w:bCs w:val="false"/>
                <w:i w:val="false"/>
                <w:iCs w:val="false"/>
                <w:strike w:val="false"/>
                <w:dstrike w:val="false"/>
                <w:outline w:val="false"/>
                <w:shadow w:val="false"/>
                <w:color w:val="000000"/>
                <w:sz w:val="20"/>
                <w:szCs w:val="20"/>
                <w:u w:val="none"/>
                <w:shd w:fill="auto" w:val="clear"/>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shd w:fill="auto" w:val="clear"/>
              </w:rPr>
            </w:pPr>
            <w:r>
              <w:rPr>
                <w:rFonts w:ascii="Verdana" w:hAnsi="Verdana"/>
                <w:b w:val="false"/>
                <w:bCs w:val="false"/>
                <w:i w:val="false"/>
                <w:iCs w:val="false"/>
                <w:strike w:val="false"/>
                <w:dstrike w:val="false"/>
                <w:outline w:val="false"/>
                <w:shadow w:val="false"/>
                <w:color w:val="000000"/>
                <w:sz w:val="20"/>
                <w:szCs w:val="20"/>
                <w:u w:val="none"/>
                <w:shd w:fill="auto" w:val="clear"/>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shd w:fill="auto" w:val="clear"/>
              </w:rPr>
            </w:pPr>
            <w:r>
              <w:rPr>
                <w:rFonts w:ascii="Verdana" w:hAnsi="Verdana"/>
                <w:b w:val="false"/>
                <w:bCs w:val="false"/>
                <w:i w:val="false"/>
                <w:iCs w:val="false"/>
                <w:strike w:val="false"/>
                <w:dstrike w:val="false"/>
                <w:outline w:val="false"/>
                <w:shadow w:val="false"/>
                <w:color w:val="000000"/>
                <w:sz w:val="20"/>
                <w:szCs w:val="20"/>
                <w:u w:val="none"/>
                <w:shd w:fill="auto" w:val="clear"/>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shd w:fill="auto" w:val="clear"/>
              </w:rPr>
            </w:pPr>
            <w:r>
              <w:rPr>
                <w:rFonts w:ascii="Verdana" w:hAnsi="Verdana"/>
                <w:b w:val="false"/>
                <w:bCs w:val="false"/>
                <w:i w:val="false"/>
                <w:iCs w:val="false"/>
                <w:strike w:val="false"/>
                <w:dstrike w:val="false"/>
                <w:outline w:val="false"/>
                <w:shadow w:val="false"/>
                <w:color w:val="000000"/>
                <w:sz w:val="20"/>
                <w:szCs w:val="20"/>
                <w:u w:val="none"/>
                <w:shd w:fill="auto" w:val="clear"/>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shd w:fill="auto" w:val="clear"/>
              </w:rPr>
            </w:pPr>
            <w:r>
              <w:rPr>
                <w:rFonts w:ascii="Verdana" w:hAnsi="Verdana"/>
                <w:b w:val="false"/>
                <w:bCs w:val="false"/>
                <w:i w:val="false"/>
                <w:iCs w:val="false"/>
                <w:strike w:val="false"/>
                <w:dstrike w:val="false"/>
                <w:outline w:val="false"/>
                <w:shadow w:val="false"/>
                <w:color w:val="000000"/>
                <w:sz w:val="20"/>
                <w:szCs w:val="20"/>
                <w:u w:val="none"/>
                <w:shd w:fill="auto" w:val="clear"/>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shd w:fill="auto" w:val="clear"/>
              </w:rPr>
            </w:pPr>
            <w:r>
              <w:rPr>
                <w:rFonts w:ascii="Verdana" w:hAnsi="Verdana"/>
                <w:b w:val="false"/>
                <w:bCs w:val="false"/>
                <w:i w:val="false"/>
                <w:iCs w:val="false"/>
                <w:strike w:val="false"/>
                <w:dstrike w:val="false"/>
                <w:outline w:val="false"/>
                <w:shadow w:val="false"/>
                <w:color w:val="000000"/>
                <w:sz w:val="20"/>
                <w:szCs w:val="20"/>
                <w:u w:val="none"/>
                <w:shd w:fill="auto" w:val="clear"/>
              </w:rPr>
            </w:r>
          </w:p>
          <w:p>
            <w:pPr>
              <w:pStyle w:val="Contedodatabela"/>
              <w:widowControl w:val="false"/>
              <w:tabs>
                <w:tab w:val="clear" w:pos="708"/>
              </w:tabs>
              <w:spacing w:lineRule="auto" w:line="240"/>
              <w:jc w:val="left"/>
              <w:rPr>
                <w:rFonts w:ascii="Verdana" w:hAnsi="Verdana"/>
                <w:b w:val="false"/>
                <w:bCs w:val="false"/>
                <w:i w:val="false"/>
                <w:i w:val="false"/>
                <w:iCs w:val="false"/>
                <w:strike w:val="false"/>
                <w:dstrike w:val="false"/>
                <w:outline w:val="false"/>
                <w:shadow w:val="false"/>
                <w:color w:val="000000"/>
                <w:sz w:val="20"/>
                <w:szCs w:val="20"/>
                <w:u w:val="none"/>
                <w:shd w:fill="auto" w:val="clear"/>
              </w:rPr>
            </w:pPr>
            <w:r>
              <w:rPr>
                <w:rFonts w:ascii="Verdana" w:hAnsi="Verdana"/>
                <w:b w:val="false"/>
                <w:bCs w:val="false"/>
                <w:i w:val="false"/>
                <w:iCs w:val="false"/>
                <w:strike w:val="false"/>
                <w:dstrike w:val="false"/>
                <w:outline w:val="false"/>
                <w:shadow w:val="false"/>
                <w:color w:val="000000"/>
                <w:sz w:val="20"/>
                <w:szCs w:val="20"/>
                <w:u w:val="none"/>
                <w:shd w:fill="auto" w:val="clear"/>
              </w:rPr>
            </w:r>
          </w:p>
          <w:p>
            <w:pPr>
              <w:pStyle w:val="Contedodatabela"/>
              <w:widowControl w:val="false"/>
              <w:tabs>
                <w:tab w:val="clear" w:pos="708"/>
              </w:tabs>
              <w:spacing w:lineRule="auto" w:line="240"/>
              <w:jc w:val="left"/>
              <w:rPr>
                <w:rFonts w:ascii="Verdana" w:hAnsi="Verdana"/>
                <w:sz w:val="20"/>
                <w:szCs w:val="20"/>
              </w:rPr>
            </w:pPr>
            <w:r>
              <w:rPr>
                <w:rFonts w:ascii="Verdana" w:hAnsi="Verdana"/>
                <w:b w:val="false"/>
                <w:bCs w:val="false"/>
                <w:i w:val="false"/>
                <w:iCs w:val="false"/>
                <w:strike w:val="false"/>
                <w:dstrike w:val="false"/>
                <w:outline w:val="false"/>
                <w:shadow w:val="false"/>
                <w:color w:val="000000"/>
                <w:sz w:val="20"/>
                <w:szCs w:val="20"/>
                <w:u w:val="none"/>
                <w:shd w:fill="auto" w:val="clear"/>
              </w:rPr>
              <w:t>R$ 12,17</w:t>
            </w:r>
          </w:p>
          <w:p>
            <w:pPr>
              <w:pStyle w:val="Contedodatabela"/>
              <w:widowControl w:val="false"/>
              <w:tabs>
                <w:tab w:val="clear" w:pos="708"/>
              </w:tabs>
              <w:spacing w:lineRule="auto" w:line="240"/>
              <w:jc w:val="left"/>
              <w:rPr>
                <w:rFonts w:ascii="Verdana" w:hAnsi="Verdana"/>
                <w:sz w:val="20"/>
                <w:szCs w:val="20"/>
                <w:shd w:fill="auto" w:val="clear"/>
              </w:rPr>
            </w:pPr>
            <w:r>
              <w:rPr>
                <w:rFonts w:ascii="Verdana" w:hAnsi="Verdana"/>
                <w:sz w:val="20"/>
                <w:szCs w:val="20"/>
                <w:shd w:fill="auto" w:val="clear"/>
              </w:rPr>
            </w:r>
          </w:p>
        </w:tc>
        <w:tc>
          <w:tcPr>
            <w:tcW w:w="1602" w:type="dxa"/>
            <w:tcBorders>
              <w:left w:val="single" w:sz="4" w:space="0" w:color="000000"/>
              <w:bottom w:val="single" w:sz="4" w:space="0" w:color="000000"/>
              <w:right w:val="single" w:sz="4" w:space="0" w:color="000000"/>
            </w:tcBorders>
          </w:tcPr>
          <w:p>
            <w:pPr>
              <w:pStyle w:val="Contedodatabela"/>
              <w:widowControl w:val="false"/>
              <w:tabs>
                <w:tab w:val="clear" w:pos="708"/>
              </w:tabs>
              <w:spacing w:lineRule="auto" w:line="240"/>
              <w:jc w:val="left"/>
              <w:rPr>
                <w:rFonts w:ascii="Verdana" w:hAnsi="Verdana" w:eastAsia="Times New Roman" w:cs="Times New Roman"/>
                <w:b w:val="false"/>
                <w:bCs w:val="false"/>
                <w:i w:val="false"/>
                <w:i w:val="false"/>
                <w:iCs w:val="false"/>
                <w:strike w:val="false"/>
                <w:dstrike w:val="false"/>
                <w:outline w:val="false"/>
                <w:shadow w:val="false"/>
                <w:color w:val="000000"/>
                <w:kern w:val="0"/>
                <w:sz w:val="20"/>
                <w:szCs w:val="20"/>
                <w:u w:val="none"/>
                <w:shd w:fill="auto" w:val="clear"/>
                <w:lang w:val="pt-BR" w:eastAsia="pt-BR" w:bidi="ar-SA"/>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r>
          </w:p>
          <w:p>
            <w:pPr>
              <w:pStyle w:val="Contedodatabela"/>
              <w:widowControl w:val="false"/>
              <w:tabs>
                <w:tab w:val="clear" w:pos="708"/>
              </w:tabs>
              <w:spacing w:lineRule="auto" w:line="240"/>
              <w:jc w:val="left"/>
              <w:rPr>
                <w:rFonts w:ascii="Verdana" w:hAnsi="Verdana" w:eastAsia="Times New Roman" w:cs="Times New Roman"/>
                <w:b w:val="false"/>
                <w:bCs w:val="false"/>
                <w:i w:val="false"/>
                <w:i w:val="false"/>
                <w:iCs w:val="false"/>
                <w:strike w:val="false"/>
                <w:dstrike w:val="false"/>
                <w:outline w:val="false"/>
                <w:shadow w:val="false"/>
                <w:color w:val="000000"/>
                <w:kern w:val="0"/>
                <w:sz w:val="20"/>
                <w:szCs w:val="20"/>
                <w:u w:val="none"/>
                <w:shd w:fill="auto" w:val="clear"/>
                <w:lang w:val="pt-BR" w:eastAsia="pt-BR" w:bidi="ar-SA"/>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r>
          </w:p>
          <w:p>
            <w:pPr>
              <w:pStyle w:val="Contedodatabela"/>
              <w:widowControl w:val="false"/>
              <w:tabs>
                <w:tab w:val="clear" w:pos="708"/>
              </w:tabs>
              <w:spacing w:lineRule="auto" w:line="240"/>
              <w:jc w:val="left"/>
              <w:rPr>
                <w:rFonts w:ascii="Verdana" w:hAnsi="Verdana" w:eastAsia="Times New Roman" w:cs="Times New Roman"/>
                <w:b w:val="false"/>
                <w:bCs w:val="false"/>
                <w:i w:val="false"/>
                <w:i w:val="false"/>
                <w:iCs w:val="false"/>
                <w:strike w:val="false"/>
                <w:dstrike w:val="false"/>
                <w:outline w:val="false"/>
                <w:shadow w:val="false"/>
                <w:color w:val="000000"/>
                <w:kern w:val="0"/>
                <w:sz w:val="20"/>
                <w:szCs w:val="20"/>
                <w:u w:val="none"/>
                <w:shd w:fill="auto" w:val="clear"/>
                <w:lang w:val="pt-BR" w:eastAsia="pt-BR" w:bidi="ar-SA"/>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r>
          </w:p>
          <w:p>
            <w:pPr>
              <w:pStyle w:val="Contedodatabela"/>
              <w:widowControl w:val="false"/>
              <w:tabs>
                <w:tab w:val="clear" w:pos="708"/>
              </w:tabs>
              <w:spacing w:lineRule="auto" w:line="240"/>
              <w:jc w:val="left"/>
              <w:rPr>
                <w:rFonts w:ascii="Verdana" w:hAnsi="Verdana" w:eastAsia="Times New Roman" w:cs="Times New Roman"/>
                <w:b w:val="false"/>
                <w:bCs w:val="false"/>
                <w:i w:val="false"/>
                <w:i w:val="false"/>
                <w:iCs w:val="false"/>
                <w:strike w:val="false"/>
                <w:dstrike w:val="false"/>
                <w:outline w:val="false"/>
                <w:shadow w:val="false"/>
                <w:color w:val="000000"/>
                <w:kern w:val="0"/>
                <w:sz w:val="20"/>
                <w:szCs w:val="20"/>
                <w:u w:val="none"/>
                <w:shd w:fill="auto" w:val="clear"/>
                <w:lang w:val="pt-BR" w:eastAsia="pt-BR" w:bidi="ar-SA"/>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r>
          </w:p>
          <w:p>
            <w:pPr>
              <w:pStyle w:val="Contedodatabela"/>
              <w:widowControl w:val="false"/>
              <w:tabs>
                <w:tab w:val="clear" w:pos="708"/>
              </w:tabs>
              <w:spacing w:lineRule="auto" w:line="240"/>
              <w:jc w:val="left"/>
              <w:rPr>
                <w:rFonts w:ascii="Verdana" w:hAnsi="Verdana" w:eastAsia="Times New Roman" w:cs="Times New Roman"/>
                <w:b w:val="false"/>
                <w:bCs w:val="false"/>
                <w:i w:val="false"/>
                <w:i w:val="false"/>
                <w:iCs w:val="false"/>
                <w:strike w:val="false"/>
                <w:dstrike w:val="false"/>
                <w:outline w:val="false"/>
                <w:shadow w:val="false"/>
                <w:color w:val="000000"/>
                <w:kern w:val="0"/>
                <w:sz w:val="20"/>
                <w:szCs w:val="20"/>
                <w:u w:val="none"/>
                <w:shd w:fill="auto" w:val="clear"/>
                <w:lang w:val="pt-BR" w:eastAsia="pt-BR" w:bidi="ar-SA"/>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r>
          </w:p>
          <w:p>
            <w:pPr>
              <w:pStyle w:val="Contedodatabela"/>
              <w:widowControl w:val="false"/>
              <w:tabs>
                <w:tab w:val="clear" w:pos="708"/>
              </w:tabs>
              <w:spacing w:lineRule="auto" w:line="240"/>
              <w:jc w:val="left"/>
              <w:rPr>
                <w:rFonts w:ascii="Verdana" w:hAnsi="Verdana" w:eastAsia="Times New Roman" w:cs="Times New Roman"/>
                <w:b w:val="false"/>
                <w:bCs w:val="false"/>
                <w:i w:val="false"/>
                <w:i w:val="false"/>
                <w:iCs w:val="false"/>
                <w:strike w:val="false"/>
                <w:dstrike w:val="false"/>
                <w:outline w:val="false"/>
                <w:shadow w:val="false"/>
                <w:color w:val="000000"/>
                <w:kern w:val="0"/>
                <w:sz w:val="20"/>
                <w:szCs w:val="20"/>
                <w:u w:val="none"/>
                <w:shd w:fill="auto" w:val="clear"/>
                <w:lang w:val="pt-BR" w:eastAsia="pt-BR" w:bidi="ar-SA"/>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r>
          </w:p>
          <w:p>
            <w:pPr>
              <w:pStyle w:val="Contedodatabela"/>
              <w:widowControl w:val="false"/>
              <w:tabs>
                <w:tab w:val="clear" w:pos="708"/>
              </w:tabs>
              <w:spacing w:lineRule="auto" w:line="240"/>
              <w:jc w:val="left"/>
              <w:rPr>
                <w:rFonts w:ascii="Verdana" w:hAnsi="Verdana" w:eastAsia="Times New Roman" w:cs="Times New Roman"/>
                <w:b w:val="false"/>
                <w:bCs w:val="false"/>
                <w:i w:val="false"/>
                <w:i w:val="false"/>
                <w:iCs w:val="false"/>
                <w:strike w:val="false"/>
                <w:dstrike w:val="false"/>
                <w:outline w:val="false"/>
                <w:shadow w:val="false"/>
                <w:color w:val="000000"/>
                <w:kern w:val="0"/>
                <w:sz w:val="20"/>
                <w:szCs w:val="20"/>
                <w:u w:val="none"/>
                <w:shd w:fill="auto" w:val="clear"/>
                <w:lang w:val="pt-BR" w:eastAsia="pt-BR" w:bidi="ar-SA"/>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r>
          </w:p>
          <w:p>
            <w:pPr>
              <w:pStyle w:val="Contedodatabela"/>
              <w:widowControl w:val="false"/>
              <w:tabs>
                <w:tab w:val="clear" w:pos="708"/>
              </w:tabs>
              <w:spacing w:lineRule="auto" w:line="240"/>
              <w:jc w:val="left"/>
              <w:rPr>
                <w:rFonts w:ascii="Verdana" w:hAnsi="Verdana"/>
                <w:sz w:val="20"/>
                <w:szCs w:val="20"/>
              </w:rPr>
            </w:pP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R$ 66.535,82</w:t>
            </w:r>
          </w:p>
          <w:p>
            <w:pPr>
              <w:pStyle w:val="Contedodatabela"/>
              <w:widowControl w:val="false"/>
              <w:tabs>
                <w:tab w:val="clear" w:pos="708"/>
              </w:tabs>
              <w:spacing w:lineRule="auto" w:line="240"/>
              <w:jc w:val="left"/>
              <w:rPr>
                <w:rFonts w:ascii="Verdana" w:hAnsi="Verdana"/>
                <w:sz w:val="20"/>
                <w:szCs w:val="20"/>
                <w:shd w:fill="auto" w:val="clear"/>
              </w:rPr>
            </w:pPr>
            <w:r>
              <w:rPr>
                <w:rFonts w:ascii="Verdana" w:hAnsi="Verdana"/>
                <w:sz w:val="20"/>
                <w:szCs w:val="20"/>
                <w:shd w:fill="auto" w:val="clear"/>
              </w:rPr>
            </w:r>
          </w:p>
        </w:tc>
      </w:tr>
      <w:tr>
        <w:trPr/>
        <w:tc>
          <w:tcPr>
            <w:tcW w:w="9749" w:type="dxa"/>
            <w:gridSpan w:val="6"/>
            <w:tcBorders>
              <w:left w:val="single" w:sz="4" w:space="0" w:color="000000"/>
              <w:bottom w:val="single" w:sz="4" w:space="0" w:color="000000"/>
              <w:right w:val="single" w:sz="4" w:space="0" w:color="000000"/>
            </w:tcBorders>
          </w:tcPr>
          <w:p>
            <w:pPr>
              <w:pStyle w:val="Contedodatabela"/>
              <w:widowControl w:val="false"/>
              <w:tabs>
                <w:tab w:val="clear" w:pos="708"/>
              </w:tabs>
              <w:spacing w:lineRule="auto" w:line="240"/>
              <w:jc w:val="left"/>
              <w:rPr>
                <w:rFonts w:ascii="Verdana" w:hAnsi="Verdana"/>
                <w:b/>
                <w:bCs/>
                <w:i w:val="false"/>
                <w:i w:val="false"/>
                <w:iCs w:val="false"/>
                <w:strike w:val="false"/>
                <w:dstrike w:val="false"/>
                <w:outline w:val="false"/>
                <w:shadow w:val="false"/>
                <w:color w:val="000000"/>
                <w:sz w:val="20"/>
                <w:szCs w:val="20"/>
                <w:u w:val="none"/>
              </w:rPr>
            </w:pPr>
            <w:r>
              <w:rPr>
                <w:rFonts w:ascii="Verdana" w:hAnsi="Verdana"/>
                <w:b/>
                <w:bCs/>
                <w:i w:val="false"/>
                <w:iCs w:val="false"/>
                <w:strike w:val="false"/>
                <w:dstrike w:val="false"/>
                <w:outline w:val="false"/>
                <w:shadow w:val="false"/>
                <w:color w:val="000000"/>
                <w:sz w:val="20"/>
                <w:szCs w:val="20"/>
                <w:u w:val="none"/>
              </w:rPr>
            </w:r>
          </w:p>
          <w:p>
            <w:pPr>
              <w:pStyle w:val="Contedodatabela"/>
              <w:widowControl w:val="false"/>
              <w:tabs>
                <w:tab w:val="clear" w:pos="708"/>
              </w:tabs>
              <w:spacing w:lineRule="auto" w:line="240"/>
              <w:jc w:val="left"/>
              <w:rPr>
                <w:rFonts w:ascii="Verdana" w:hAnsi="Verdana"/>
                <w:sz w:val="20"/>
                <w:szCs w:val="20"/>
              </w:rPr>
            </w:pPr>
            <w:r>
              <w:rPr>
                <w:rFonts w:ascii="Verdana" w:hAnsi="Verdana"/>
                <w:b/>
                <w:bCs/>
                <w:i w:val="false"/>
                <w:iCs w:val="false"/>
                <w:strike w:val="false"/>
                <w:dstrike w:val="false"/>
                <w:outline w:val="false"/>
                <w:shadow w:val="false"/>
                <w:color w:val="000000"/>
                <w:sz w:val="20"/>
                <w:szCs w:val="20"/>
                <w:u w:val="none"/>
              </w:rPr>
              <w:t>VALOR ESTIMADO TOTAL:</w:t>
            </w:r>
            <w:r>
              <w:rPr>
                <w:rFonts w:ascii="Verdana" w:hAnsi="Verdana"/>
                <w:b/>
                <w:bCs/>
                <w:i w:val="false"/>
                <w:iCs w:val="false"/>
                <w:strike w:val="false"/>
                <w:dstrike w:val="false"/>
                <w:outline w:val="false"/>
                <w:shadow w:val="false"/>
                <w:color w:val="000000"/>
                <w:sz w:val="20"/>
                <w:szCs w:val="20"/>
                <w:u w:val="none"/>
                <w:shd w:fill="auto" w:val="clear"/>
              </w:rPr>
              <w:t xml:space="preserve"> R$ 66.535.82 (sessenta e seis mil quinhentos e trinta e cinco reais e oitenta e dois centavos).</w:t>
            </w:r>
          </w:p>
          <w:p>
            <w:pPr>
              <w:pStyle w:val="Contedodatabela"/>
              <w:widowControl w:val="false"/>
              <w:tabs>
                <w:tab w:val="clear" w:pos="708"/>
              </w:tabs>
              <w:spacing w:lineRule="auto" w:line="240"/>
              <w:jc w:val="left"/>
              <w:rPr>
                <w:rFonts w:ascii="Verdana" w:hAnsi="Verdana"/>
                <w:b/>
                <w:bCs/>
                <w:i w:val="false"/>
                <w:i w:val="false"/>
                <w:iCs w:val="false"/>
                <w:strike w:val="false"/>
                <w:dstrike w:val="false"/>
                <w:outline w:val="false"/>
                <w:shadow w:val="false"/>
                <w:color w:val="000000"/>
                <w:sz w:val="20"/>
                <w:szCs w:val="20"/>
                <w:u w:val="none"/>
                <w:shd w:fill="auto" w:val="clear"/>
              </w:rPr>
            </w:pPr>
            <w:r>
              <w:rPr>
                <w:rFonts w:ascii="Verdana" w:hAnsi="Verdana"/>
                <w:b/>
                <w:bCs/>
                <w:i w:val="false"/>
                <w:iCs w:val="false"/>
                <w:strike w:val="false"/>
                <w:dstrike w:val="false"/>
                <w:outline w:val="false"/>
                <w:shadow w:val="false"/>
                <w:color w:val="000000"/>
                <w:sz w:val="20"/>
                <w:szCs w:val="20"/>
                <w:u w:val="none"/>
                <w:shd w:fill="auto" w:val="clear"/>
              </w:rPr>
            </w:r>
          </w:p>
          <w:p>
            <w:pPr>
              <w:pStyle w:val="ListParagraph"/>
              <w:widowControl w:val="false"/>
              <w:tabs>
                <w:tab w:val="clear" w:pos="708"/>
                <w:tab w:val="left" w:pos="0" w:leader="none"/>
              </w:tabs>
              <w:suppressAutoHyphens w:val="false"/>
              <w:spacing w:lineRule="auto" w:line="240"/>
              <w:ind w:left="0" w:right="0" w:hanging="0"/>
              <w:jc w:val="both"/>
              <w:rPr>
                <w:rFonts w:ascii="Verdana" w:hAnsi="Verdana"/>
                <w:sz w:val="20"/>
                <w:szCs w:val="20"/>
              </w:rPr>
            </w:pPr>
            <w:r>
              <w:rPr>
                <w:rFonts w:eastAsia="Times New Roman" w:cs="Times New Roman" w:ascii="Verdana" w:hAnsi="Verdana"/>
                <w:b w:val="false"/>
                <w:bCs w:val="false"/>
                <w:i w:val="false"/>
                <w:iCs/>
                <w:strike w:val="false"/>
                <w:dstrike w:val="false"/>
                <w:outline w:val="false"/>
                <w:shadow w:val="false"/>
                <w:color w:val="000000"/>
                <w:sz w:val="20"/>
                <w:szCs w:val="20"/>
                <w:u w:val="none"/>
                <w:shd w:fill="auto" w:val="clear"/>
              </w:rPr>
              <w:t>conforme custos unitários apostos no ETP em anexo, planilha de custos elaborada pela SEDU e no quadro comparativo de preços simples em anexo (valor máximo para a licitação).</w:t>
            </w:r>
          </w:p>
        </w:tc>
      </w:tr>
    </w:tbl>
    <w:p>
      <w:pPr>
        <w:pStyle w:val="Normal"/>
        <w:widowControl w:val="false"/>
        <w:spacing w:lineRule="auto" w:line="240"/>
        <w:jc w:val="both"/>
        <w:rPr>
          <w:rFonts w:ascii="Verdana" w:hAnsi="Verdana" w:cs="Arial"/>
          <w:b/>
          <w:sz w:val="20"/>
          <w:szCs w:val="20"/>
          <w:u w:val="single"/>
        </w:rPr>
      </w:pPr>
      <w:r>
        <w:rPr>
          <w:rFonts w:cs="Arial" w:ascii="Verdana" w:hAnsi="Verdana"/>
          <w:b/>
          <w:sz w:val="20"/>
          <w:szCs w:val="20"/>
          <w:u w:val="single"/>
        </w:rPr>
      </w:r>
    </w:p>
    <w:p>
      <w:pPr>
        <w:pStyle w:val="ListParagraph"/>
        <w:suppressAutoHyphens w:val="false"/>
        <w:spacing w:lineRule="auto" w:line="240"/>
        <w:ind w:left="0" w:right="0" w:hanging="0"/>
        <w:jc w:val="both"/>
        <w:rPr>
          <w:rFonts w:ascii="Verdana" w:hAnsi="Verdana"/>
          <w:sz w:val="20"/>
          <w:szCs w:val="20"/>
        </w:rPr>
      </w:pPr>
      <w:r>
        <w:rPr>
          <w:rFonts w:ascii="Verdana" w:hAnsi="Verdana"/>
          <w:b w:val="false"/>
          <w:bCs w:val="false"/>
          <w:iCs/>
          <w:sz w:val="20"/>
          <w:szCs w:val="20"/>
        </w:rPr>
        <w:t>1.2</w:t>
      </w:r>
      <w:r>
        <w:rPr>
          <w:rFonts w:ascii="Verdana" w:hAnsi="Verdana"/>
          <w:b/>
          <w:bCs/>
          <w:iCs/>
          <w:sz w:val="20"/>
          <w:szCs w:val="20"/>
        </w:rPr>
        <w:t>.</w:t>
      </w:r>
      <w:r>
        <w:rPr>
          <w:rFonts w:ascii="Verdana" w:hAnsi="Verdana"/>
          <w:iCs/>
          <w:sz w:val="20"/>
          <w:szCs w:val="20"/>
        </w:rPr>
        <w:t xml:space="preserve"> O objeto desta contatação não se enquadra como sendo de bens de luxo, conforme Decreto nº 10.818, de 2021.</w:t>
      </w:r>
    </w:p>
    <w:p>
      <w:pPr>
        <w:pStyle w:val="ListParagraph"/>
        <w:suppressAutoHyphens w:val="false"/>
        <w:spacing w:lineRule="auto" w:line="240"/>
        <w:ind w:left="-22" w:right="0" w:hanging="0"/>
        <w:jc w:val="both"/>
        <w:rPr>
          <w:rFonts w:ascii="Verdana" w:hAnsi="Verdana"/>
          <w:sz w:val="20"/>
          <w:szCs w:val="20"/>
        </w:rPr>
      </w:pPr>
      <w:r>
        <w:rPr>
          <w:rFonts w:ascii="Verdana" w:hAnsi="Verdana"/>
          <w:b w:val="false"/>
          <w:bCs w:val="false"/>
          <w:iCs/>
          <w:sz w:val="20"/>
          <w:szCs w:val="20"/>
        </w:rPr>
        <w:t>1.3</w:t>
      </w:r>
      <w:r>
        <w:rPr>
          <w:rFonts w:ascii="Verdana" w:hAnsi="Verdana"/>
          <w:iCs/>
          <w:sz w:val="20"/>
          <w:szCs w:val="20"/>
        </w:rPr>
        <w:t xml:space="preserve">. </w:t>
      </w:r>
      <w:r>
        <w:rPr>
          <w:rFonts w:ascii="Verdana" w:hAnsi="Verdana"/>
          <w:sz w:val="20"/>
          <w:szCs w:val="20"/>
        </w:rPr>
        <w:t xml:space="preserve">O prazo de vigência da </w:t>
      </w:r>
      <w:r>
        <w:rPr>
          <w:rFonts w:eastAsia="Times New Roman" w:cs="Times New Roman" w:ascii="Verdana" w:hAnsi="Verdana"/>
          <w:color w:val="auto"/>
          <w:kern w:val="0"/>
          <w:sz w:val="20"/>
          <w:szCs w:val="20"/>
          <w:lang w:val="pt-BR" w:eastAsia="pt-BR" w:bidi="ar-SA"/>
        </w:rPr>
        <w:t>contratação</w:t>
      </w:r>
      <w:r>
        <w:rPr>
          <w:rFonts w:ascii="Verdana" w:hAnsi="Verdana"/>
          <w:sz w:val="20"/>
          <w:szCs w:val="20"/>
        </w:rPr>
        <w:t xml:space="preserve"> será de 12 (doze) meses, com início da prestação de serviços contados do(a) </w:t>
      </w:r>
      <w:r>
        <w:rPr>
          <w:rFonts w:cs="Arial" w:ascii="Verdana" w:hAnsi="Verdana"/>
          <w:bCs/>
          <w:iCs/>
          <w:color w:val="000000"/>
          <w:sz w:val="20"/>
          <w:szCs w:val="20"/>
        </w:rPr>
        <w:t xml:space="preserve">a partir da assinatura do contrato </w:t>
      </w:r>
      <w:r>
        <w:rPr>
          <w:rFonts w:eastAsia="Times New Roman" w:cs="Arial" w:ascii="Verdana" w:hAnsi="Verdana"/>
          <w:bCs/>
          <w:iCs/>
          <w:color w:val="000000"/>
          <w:kern w:val="0"/>
          <w:sz w:val="20"/>
          <w:szCs w:val="20"/>
          <w:lang w:val="pt-BR" w:eastAsia="pt-BR" w:bidi="ar-SA"/>
        </w:rPr>
        <w:t>emissão da autorização de fornecimento e assinatura do contrato.</w:t>
      </w:r>
    </w:p>
    <w:p>
      <w:pPr>
        <w:pStyle w:val="ListParagraph"/>
        <w:suppressAutoHyphens w:val="false"/>
        <w:spacing w:lineRule="auto" w:line="240"/>
        <w:ind w:left="-22" w:right="0" w:hanging="0"/>
        <w:jc w:val="both"/>
        <w:rPr>
          <w:rFonts w:ascii="Verdana" w:hAnsi="Verdana"/>
          <w:sz w:val="20"/>
          <w:szCs w:val="20"/>
        </w:rPr>
      </w:pPr>
      <w:r>
        <w:rPr>
          <w:rFonts w:eastAsia="SimSun" w:cs="Arial" w:ascii="Verdana" w:hAnsi="Verdana"/>
          <w:b w:val="false"/>
          <w:bCs w:val="false"/>
          <w:i w:val="false"/>
          <w:iCs w:val="false"/>
          <w:sz w:val="20"/>
          <w:szCs w:val="20"/>
          <w:u w:val="none"/>
        </w:rPr>
        <w:t xml:space="preserve">1.4. </w:t>
      </w:r>
      <w:r>
        <w:rPr>
          <w:rFonts w:eastAsia="SimSun" w:cs="Arial" w:ascii="Verdana" w:hAnsi="Verdana"/>
          <w:b w:val="false"/>
          <w:bCs w:val="false"/>
          <w:i w:val="false"/>
          <w:iCs w:val="false"/>
          <w:sz w:val="20"/>
          <w:szCs w:val="20"/>
          <w:u w:val="none"/>
          <w:shd w:fill="auto" w:val="clear"/>
        </w:rPr>
        <w:t xml:space="preserve">O objeto da contratação será composto por </w:t>
      </w:r>
      <w:r>
        <w:rPr>
          <w:rFonts w:eastAsia="Times New Roman" w:cs="Arial" w:ascii="Verdana" w:hAnsi="Verdana"/>
          <w:b w:val="false"/>
          <w:bCs w:val="false"/>
          <w:i w:val="false"/>
          <w:iCs w:val="false"/>
          <w:color w:val="000000"/>
          <w:kern w:val="0"/>
          <w:sz w:val="20"/>
          <w:szCs w:val="20"/>
          <w:u w:val="none"/>
          <w:shd w:fill="auto" w:val="clear"/>
          <w:lang w:val="pt-BR" w:eastAsia="zh-CN" w:bidi="ar-SA"/>
        </w:rPr>
        <w:t>01</w:t>
      </w:r>
      <w:r>
        <w:rPr>
          <w:rFonts w:eastAsia="SimSun" w:cs="Arial" w:ascii="Verdana" w:hAnsi="Verdana"/>
          <w:b w:val="false"/>
          <w:bCs w:val="false"/>
          <w:i w:val="false"/>
          <w:iCs w:val="false"/>
          <w:sz w:val="20"/>
          <w:szCs w:val="20"/>
          <w:u w:val="none"/>
          <w:shd w:fill="auto" w:val="clear"/>
        </w:rPr>
        <w:t xml:space="preserve"> item, de preço total estimado orçado pela administração no valor</w:t>
      </w:r>
      <w:r>
        <w:rPr>
          <w:rFonts w:eastAsia="Arial" w:cs="Arial" w:ascii="Verdana" w:hAnsi="Verdana"/>
          <w:b w:val="false"/>
          <w:bCs w:val="false"/>
          <w:i w:val="false"/>
          <w:iCs w:val="false"/>
          <w:sz w:val="20"/>
          <w:szCs w:val="20"/>
          <w:u w:val="none"/>
          <w:shd w:fill="auto" w:val="clear"/>
        </w:rPr>
        <w:t xml:space="preserve"> </w:t>
      </w:r>
      <w:r>
        <w:rPr>
          <w:rFonts w:eastAsia="Arial" w:cs="Arial" w:ascii="Verdana" w:hAnsi="Verdana"/>
          <w:b w:val="false"/>
          <w:bCs w:val="false"/>
          <w:i w:val="false"/>
          <w:iCs w:val="false"/>
          <w:strike w:val="false"/>
          <w:dstrike w:val="false"/>
          <w:outline w:val="false"/>
          <w:shadow w:val="false"/>
          <w:color w:val="000000"/>
          <w:sz w:val="20"/>
          <w:szCs w:val="20"/>
          <w:u w:val="none"/>
          <w:shd w:fill="auto" w:val="clear"/>
        </w:rPr>
        <w:t>R$ 66.535.82 (sessenta e seis mil quinhentos e trinta e cinco reais e oitenta e dois centavos)</w:t>
      </w:r>
      <w:r>
        <w:rPr>
          <w:rFonts w:eastAsia="Times New Roman" w:cs="Times New Roman" w:ascii="Verdana" w:hAnsi="Verdana"/>
          <w:b w:val="false"/>
          <w:bCs w:val="false"/>
          <w:i w:val="false"/>
          <w:iCs w:val="false"/>
          <w:strike w:val="false"/>
          <w:dstrike w:val="false"/>
          <w:outline w:val="false"/>
          <w:shadow w:val="false"/>
          <w:color w:val="000000"/>
          <w:kern w:val="0"/>
          <w:sz w:val="20"/>
          <w:szCs w:val="20"/>
          <w:u w:val="none"/>
          <w:shd w:fill="auto" w:val="clear"/>
          <w:lang w:val="pt-BR" w:eastAsia="pt-BR" w:bidi="ar-SA"/>
        </w:rPr>
        <w:t>.</w:t>
      </w:r>
      <w:r>
        <w:rPr>
          <w:rFonts w:eastAsia="SimSun" w:cs="Arial" w:ascii="Verdana" w:hAnsi="Verdana"/>
          <w:b w:val="false"/>
          <w:bCs w:val="false"/>
          <w:i w:val="false"/>
          <w:iCs w:val="false"/>
          <w:sz w:val="20"/>
          <w:szCs w:val="20"/>
          <w:u w:val="none"/>
          <w:shd w:fill="auto" w:val="clear"/>
        </w:rPr>
        <w:t xml:space="preserve"> Para fins de classificação, será considerado o menor preço </w:t>
      </w:r>
      <w:r>
        <w:rPr>
          <w:rFonts w:eastAsia="Times New Roman" w:cs="Arial" w:ascii="Verdana" w:hAnsi="Verdana"/>
          <w:b w:val="false"/>
          <w:bCs w:val="false"/>
          <w:i w:val="false"/>
          <w:iCs w:val="false"/>
          <w:color w:val="000000"/>
          <w:kern w:val="0"/>
          <w:sz w:val="20"/>
          <w:szCs w:val="20"/>
          <w:u w:val="none"/>
          <w:shd w:fill="auto" w:val="clear"/>
          <w:lang w:val="pt-BR" w:eastAsia="zh-CN" w:bidi="ar-SA"/>
        </w:rPr>
        <w:t>por item</w:t>
      </w:r>
      <w:r>
        <w:rPr>
          <w:rFonts w:eastAsia="SimSun" w:cs="Arial" w:ascii="Verdana" w:hAnsi="Verdana"/>
          <w:b w:val="false"/>
          <w:bCs w:val="false"/>
          <w:i w:val="false"/>
          <w:iCs w:val="false"/>
          <w:sz w:val="20"/>
          <w:szCs w:val="20"/>
          <w:u w:val="none"/>
          <w:shd w:fill="auto" w:val="clear"/>
        </w:rPr>
        <w:t>.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vantajosa.</w:t>
      </w:r>
    </w:p>
    <w:p>
      <w:pPr>
        <w:pStyle w:val="ListParagraph"/>
        <w:suppressAutoHyphens w:val="false"/>
        <w:spacing w:lineRule="auto" w:line="240"/>
        <w:ind w:left="-22" w:right="0" w:hanging="0"/>
        <w:jc w:val="both"/>
        <w:rPr>
          <w:rFonts w:ascii="Verdana" w:hAnsi="Verdana"/>
          <w:sz w:val="20"/>
          <w:szCs w:val="20"/>
        </w:rPr>
      </w:pPr>
      <w:r>
        <w:rPr>
          <w:rFonts w:ascii="Verdana" w:hAnsi="Verdana"/>
          <w:sz w:val="20"/>
          <w:szCs w:val="20"/>
        </w:rPr>
      </w:r>
    </w:p>
    <w:p>
      <w:pPr>
        <w:pStyle w:val="Normal"/>
        <w:spacing w:lineRule="auto" w:line="240"/>
        <w:ind w:left="0" w:right="0" w:hanging="0"/>
        <w:rPr>
          <w:rFonts w:ascii="Verdana" w:hAnsi="Verdana"/>
          <w:sz w:val="20"/>
          <w:szCs w:val="20"/>
        </w:rPr>
      </w:pPr>
      <w:r>
        <w:rPr>
          <w:rFonts w:ascii="Verdana" w:hAnsi="Verdana"/>
          <w:b/>
          <w:bCs/>
          <w:sz w:val="20"/>
          <w:szCs w:val="20"/>
        </w:rPr>
        <w:t>2. FUNDAMENTAÇÃO E DESCRIÇÃO DA NECESSIDADE DA CONTRATAÇÃO</w:t>
      </w:r>
    </w:p>
    <w:p>
      <w:pPr>
        <w:pStyle w:val="ListParagraph"/>
        <w:widowControl/>
        <w:suppressAutoHyphens w:val="true"/>
        <w:overflowPunct w:val="true"/>
        <w:bidi w:val="0"/>
        <w:spacing w:lineRule="auto" w:line="240" w:before="0" w:after="0"/>
        <w:ind w:left="0" w:right="0" w:hanging="0"/>
        <w:contextualSpacing/>
        <w:jc w:val="both"/>
        <w:rPr>
          <w:rFonts w:ascii="Verdana" w:hAnsi="Verdana"/>
          <w:sz w:val="20"/>
          <w:szCs w:val="20"/>
        </w:rPr>
      </w:pPr>
      <w:r>
        <w:rPr>
          <w:rFonts w:cs="Arial" w:ascii="Verdana" w:hAnsi="Verdana"/>
          <w:b w:val="false"/>
          <w:bCs w:val="false"/>
          <w:sz w:val="20"/>
          <w:szCs w:val="20"/>
        </w:rPr>
        <w:t xml:space="preserve">2.1. </w:t>
      </w:r>
      <w:r>
        <w:rPr>
          <w:rFonts w:ascii="Verdana" w:hAnsi="Verdana"/>
          <w:b w:val="false"/>
          <w:bCs w:val="false"/>
          <w:sz w:val="20"/>
          <w:szCs w:val="20"/>
        </w:rPr>
        <w:t>Contratação de empresa especializada para a prestação de serviços de transporte escolar, com fornecimento de mão de obra,</w:t>
      </w:r>
      <w:r>
        <w:rPr>
          <w:rFonts w:cs="Arial" w:ascii="Verdana" w:hAnsi="Verdana"/>
          <w:b w:val="false"/>
          <w:bCs w:val="false"/>
          <w:sz w:val="20"/>
          <w:szCs w:val="20"/>
        </w:rPr>
        <w:t xml:space="preserve"> no Município de São Gabriel da Palha, conforme especificações e quantidades detalhadas </w:t>
      </w:r>
      <w:r>
        <w:rPr>
          <w:rFonts w:cs="Arial" w:ascii="Verdana" w:hAnsi="Verdana"/>
          <w:b w:val="false"/>
          <w:bCs w:val="false"/>
          <w:sz w:val="20"/>
          <w:szCs w:val="20"/>
          <w:lang w:eastAsia="pt-BR"/>
        </w:rPr>
        <w:t>neste Estudo Técnico Preliminar</w:t>
      </w:r>
      <w:r>
        <w:rPr>
          <w:rFonts w:cs="Arial" w:ascii="Verdana" w:hAnsi="Verdana"/>
          <w:b w:val="false"/>
          <w:bCs w:val="false"/>
          <w:sz w:val="20"/>
          <w:szCs w:val="20"/>
        </w:rPr>
        <w:t>.</w:t>
      </w:r>
    </w:p>
    <w:p>
      <w:pPr>
        <w:pStyle w:val="ListParagraph"/>
        <w:spacing w:lineRule="auto" w:line="240" w:before="0" w:after="0"/>
        <w:ind w:left="0" w:hanging="0"/>
        <w:contextualSpacing/>
        <w:jc w:val="both"/>
        <w:rPr>
          <w:rFonts w:ascii="Verdana" w:hAnsi="Verdana"/>
          <w:sz w:val="20"/>
          <w:szCs w:val="20"/>
        </w:rPr>
      </w:pPr>
      <w:r>
        <w:rPr>
          <w:rFonts w:eastAsia="Arial" w:cs="Arial" w:ascii="Verdana" w:hAnsi="Verdana"/>
          <w:b w:val="false"/>
          <w:bCs w:val="false"/>
          <w:sz w:val="20"/>
          <w:szCs w:val="20"/>
        </w:rPr>
        <w:t>2.2. A quantidade foi estimada com base na demanda de estudantes das escolas da Rede Municipal e Estadual de Ensino.</w:t>
      </w:r>
    </w:p>
    <w:p>
      <w:pPr>
        <w:pStyle w:val="Normal"/>
        <w:spacing w:lineRule="auto" w:line="240"/>
        <w:jc w:val="both"/>
        <w:rPr>
          <w:rFonts w:ascii="Verdana" w:hAnsi="Verdana"/>
          <w:sz w:val="20"/>
          <w:szCs w:val="20"/>
        </w:rPr>
      </w:pPr>
      <w:r>
        <w:rPr>
          <w:rFonts w:eastAsia="Arial" w:cs="Arial" w:ascii="Verdana" w:hAnsi="Verdana"/>
          <w:b w:val="false"/>
          <w:bCs w:val="false"/>
          <w:sz w:val="20"/>
          <w:szCs w:val="20"/>
        </w:rPr>
        <w:t>2.3. Considerando a necessidade de alterações em alguns roteiros e adequação a novos horários.</w:t>
      </w:r>
    </w:p>
    <w:p>
      <w:pPr>
        <w:pStyle w:val="Normal"/>
        <w:spacing w:lineRule="auto" w:line="240"/>
        <w:jc w:val="both"/>
        <w:rPr>
          <w:rFonts w:ascii="Verdana" w:hAnsi="Verdana"/>
          <w:sz w:val="20"/>
          <w:szCs w:val="20"/>
        </w:rPr>
      </w:pPr>
      <w:r>
        <w:rPr>
          <w:rFonts w:eastAsia="Arial" w:cs="Arial" w:ascii="Verdana" w:hAnsi="Verdana"/>
          <w:b w:val="false"/>
          <w:bCs w:val="false"/>
          <w:sz w:val="20"/>
          <w:szCs w:val="20"/>
        </w:rPr>
        <w:t>2.4. A terceirização dos serviços de transporte escolar torna-se necessária haja vista a carência de servidores e veículos para execução de atividades. E se tratando de serviços essenciais e de profunda relevância no contexto da sociedade, sua interrupção seria danosa à população do município;</w:t>
      </w:r>
    </w:p>
    <w:p>
      <w:pPr>
        <w:pStyle w:val="Normal"/>
        <w:spacing w:lineRule="auto" w:line="240"/>
        <w:jc w:val="both"/>
        <w:rPr>
          <w:rFonts w:ascii="Verdana" w:hAnsi="Verdana"/>
          <w:sz w:val="20"/>
          <w:szCs w:val="20"/>
        </w:rPr>
      </w:pPr>
      <w:r>
        <w:rPr>
          <w:rFonts w:eastAsia="Arial" w:cs="Arial" w:ascii="Verdana" w:hAnsi="Verdana"/>
          <w:b w:val="false"/>
          <w:bCs w:val="false"/>
          <w:sz w:val="20"/>
          <w:szCs w:val="20"/>
        </w:rPr>
        <w:t>2.5. O Transporte Escolar é um instrumento de democratização de oportunidades educacionais pela garantia de acesso e a permanência do aluno na escola, conforme garante o Artigo 208 da Constituição Federal de 1988 e Inciso VII do Artigo 10 da Lei nº 9.394/96;</w:t>
      </w:r>
    </w:p>
    <w:p>
      <w:pPr>
        <w:pStyle w:val="Normal"/>
        <w:spacing w:lineRule="auto" w:line="240"/>
        <w:jc w:val="both"/>
        <w:rPr>
          <w:rFonts w:ascii="Verdana" w:hAnsi="Verdana"/>
          <w:sz w:val="20"/>
          <w:szCs w:val="20"/>
        </w:rPr>
      </w:pPr>
      <w:r>
        <w:rPr>
          <w:rFonts w:ascii="Verdana" w:hAnsi="Verdana"/>
          <w:b w:val="false"/>
          <w:bCs w:val="false"/>
          <w:sz w:val="20"/>
          <w:szCs w:val="20"/>
        </w:rPr>
        <w:t>2.6. Os serviços de transporte escolar são extremamente essenciais, não podendo haver interrupção, sob pena de trazer prejuízos diretos à população que dele necessita, inclusive, sendo meio de garantir o direto constitucional à educação;</w:t>
      </w:r>
    </w:p>
    <w:p>
      <w:pPr>
        <w:pStyle w:val="Normal"/>
        <w:spacing w:lineRule="auto" w:line="240"/>
        <w:jc w:val="both"/>
        <w:rPr>
          <w:rFonts w:ascii="Verdana" w:hAnsi="Verdana"/>
          <w:sz w:val="20"/>
          <w:szCs w:val="20"/>
        </w:rPr>
      </w:pPr>
      <w:r>
        <w:rPr>
          <w:rFonts w:ascii="Verdana" w:hAnsi="Verdana"/>
          <w:b w:val="false"/>
          <w:bCs w:val="false"/>
          <w:sz w:val="20"/>
          <w:szCs w:val="20"/>
        </w:rPr>
        <w:t xml:space="preserve">2.7. O Decreto nº 3277-R de 09 de abril de 2013, que regulamenta o funcionamento do Programa Estadual de Transporte Escolar – PETE/ES, instituído pela Lei 9.999 de 04 de abril de 2013, com </w:t>
      </w:r>
      <w:r>
        <w:rPr>
          <w:rFonts w:eastAsia="Arial" w:cs="Arial" w:ascii="Verdana" w:hAnsi="Verdana"/>
          <w:b w:val="false"/>
          <w:bCs w:val="false"/>
          <w:sz w:val="20"/>
          <w:szCs w:val="20"/>
        </w:rPr>
        <w:t>o 2º Termo Aditivo ao Termo de Adesão Nº 200/2013, ao Programa Estadual do Transporte Escolar que garante a contrapartida da SEDU, visto que o transporte é compartilhado com a Rede Estadual de Ensino;</w:t>
      </w:r>
    </w:p>
    <w:p>
      <w:pPr>
        <w:pStyle w:val="Normal"/>
        <w:spacing w:lineRule="auto" w:line="240"/>
        <w:jc w:val="both"/>
        <w:rPr>
          <w:rFonts w:ascii="Verdana" w:hAnsi="Verdana"/>
          <w:sz w:val="20"/>
          <w:szCs w:val="20"/>
        </w:rPr>
      </w:pPr>
      <w:r>
        <w:rPr>
          <w:rFonts w:eastAsia="Arial" w:cs="Arial" w:ascii="Verdana" w:hAnsi="Verdana"/>
          <w:b w:val="false"/>
          <w:bCs w:val="false"/>
          <w:sz w:val="20"/>
          <w:szCs w:val="20"/>
        </w:rPr>
        <w:t xml:space="preserve">2.8. A contratação pretendida tem consonância com o planejamento estratégico desta Instituição, uma vez que consta na sua programação orçamentária e financeira anual. </w:t>
      </w:r>
    </w:p>
    <w:p>
      <w:pPr>
        <w:pStyle w:val="ListParagraph"/>
        <w:widowControl/>
        <w:suppressAutoHyphens w:val="true"/>
        <w:overflowPunct w:val="true"/>
        <w:bidi w:val="0"/>
        <w:spacing w:lineRule="auto" w:line="240" w:before="0" w:after="0"/>
        <w:ind w:left="0" w:right="0" w:hanging="0"/>
        <w:contextualSpacing/>
        <w:jc w:val="both"/>
        <w:rPr>
          <w:rFonts w:ascii="Verdana" w:hAnsi="Verdana"/>
          <w:sz w:val="20"/>
          <w:szCs w:val="20"/>
        </w:rPr>
      </w:pPr>
      <w:r>
        <w:rPr>
          <w:rFonts w:ascii="Verdana" w:hAnsi="Verdana"/>
          <w:sz w:val="20"/>
          <w:szCs w:val="20"/>
        </w:rPr>
      </w:r>
    </w:p>
    <w:p>
      <w:pPr>
        <w:pStyle w:val="Normal"/>
        <w:spacing w:lineRule="auto" w:line="240"/>
        <w:ind w:left="0" w:right="0" w:hanging="0"/>
        <w:jc w:val="both"/>
        <w:rPr>
          <w:rFonts w:ascii="Verdana" w:hAnsi="Verdana"/>
          <w:sz w:val="20"/>
          <w:szCs w:val="20"/>
        </w:rPr>
      </w:pPr>
      <w:r>
        <w:rPr>
          <w:rFonts w:ascii="Verdana" w:hAnsi="Verdana"/>
          <w:b/>
          <w:bCs/>
          <w:sz w:val="20"/>
          <w:szCs w:val="20"/>
        </w:rPr>
        <w:t xml:space="preserve">3. DESCRIÇÃO DA SOLUÇÃO COMO UM TODO </w:t>
      </w:r>
    </w:p>
    <w:p>
      <w:pPr>
        <w:pStyle w:val="Normal"/>
        <w:spacing w:lineRule="auto" w:line="240"/>
        <w:jc w:val="both"/>
        <w:rPr>
          <w:rFonts w:ascii="Verdana" w:hAnsi="Verdana"/>
          <w:sz w:val="20"/>
          <w:szCs w:val="20"/>
        </w:rPr>
      </w:pPr>
      <w:r>
        <w:rPr>
          <w:rFonts w:cs="Arial" w:ascii="Verdana" w:hAnsi="Verdana"/>
          <w:b w:val="false"/>
          <w:bCs w:val="false"/>
          <w:sz w:val="20"/>
          <w:szCs w:val="20"/>
        </w:rPr>
        <w:t>3.1 A solução a ser adotada consiste na Contratação de empresa especializada, para prestação de serviços de transporte escolar no Município de São Gabriel da Palha, para atender as necessidades da Secretaria Municipal de Educação como um todo.</w:t>
      </w:r>
    </w:p>
    <w:p>
      <w:pPr>
        <w:pStyle w:val="Normal"/>
        <w:spacing w:lineRule="auto" w:line="240"/>
        <w:jc w:val="both"/>
        <w:rPr>
          <w:rFonts w:ascii="Verdana" w:hAnsi="Verdana"/>
          <w:sz w:val="20"/>
          <w:szCs w:val="20"/>
        </w:rPr>
      </w:pPr>
      <w:r>
        <w:rPr>
          <w:rFonts w:cs="Arial" w:ascii="Verdana" w:hAnsi="Verdana"/>
          <w:b w:val="false"/>
          <w:bCs w:val="false"/>
          <w:sz w:val="20"/>
          <w:szCs w:val="20"/>
        </w:rPr>
        <w:t>3.2 A contratação para a contratação da prestação de serviços deverá obedecer, no que couber, ao disposto na Lei n.º 14.133/2021 e suas alterações.</w:t>
      </w:r>
    </w:p>
    <w:p>
      <w:pPr>
        <w:pStyle w:val="Normal"/>
        <w:spacing w:lineRule="auto" w:line="240"/>
        <w:jc w:val="both"/>
        <w:rPr>
          <w:rFonts w:ascii="Verdana" w:hAnsi="Verdana"/>
          <w:sz w:val="20"/>
          <w:szCs w:val="20"/>
        </w:rPr>
      </w:pPr>
      <w:r>
        <w:rPr>
          <w:rFonts w:cs="Arial" w:ascii="Verdana" w:hAnsi="Verdana"/>
          <w:b/>
          <w:bCs/>
          <w:sz w:val="20"/>
          <w:szCs w:val="20"/>
        </w:rPr>
        <w:t>3.3. Definição e justificativa de caracterização do objeto e prazos da contratação</w:t>
      </w:r>
    </w:p>
    <w:p>
      <w:pPr>
        <w:pStyle w:val="Normal"/>
        <w:spacing w:lineRule="auto" w:line="240"/>
        <w:jc w:val="both"/>
        <w:rPr>
          <w:rFonts w:ascii="Verdana" w:hAnsi="Verdana"/>
          <w:sz w:val="20"/>
          <w:szCs w:val="20"/>
        </w:rPr>
      </w:pPr>
      <w:r>
        <w:rPr>
          <w:rFonts w:ascii="Verdana" w:hAnsi="Verdana"/>
          <w:b w:val="false"/>
          <w:bCs w:val="false"/>
          <w:sz w:val="20"/>
          <w:szCs w:val="20"/>
          <w:shd w:fill="auto" w:val="clear"/>
        </w:rPr>
        <w:t>3.3.1. A demanda a ser contratada é</w:t>
      </w:r>
      <w:bookmarkStart w:id="0" w:name="__DdeLink__8633_1973056555"/>
      <w:r>
        <w:rPr>
          <w:rFonts w:ascii="Verdana" w:hAnsi="Verdana"/>
          <w:b w:val="false"/>
          <w:bCs w:val="false"/>
          <w:sz w:val="20"/>
          <w:szCs w:val="20"/>
          <w:shd w:fill="auto" w:val="clear"/>
        </w:rPr>
        <w:t xml:space="preserve"> de empresa especializada, para prestação de serviços de transporte escolar no Município de São Gabriel da Palha</w:t>
      </w:r>
      <w:bookmarkEnd w:id="0"/>
      <w:r>
        <w:rPr>
          <w:rFonts w:ascii="Verdana" w:hAnsi="Verdana"/>
          <w:b w:val="false"/>
          <w:bCs w:val="false"/>
          <w:sz w:val="20"/>
          <w:szCs w:val="20"/>
          <w:shd w:fill="auto" w:val="clear"/>
        </w:rPr>
        <w:t>, para suprir as necessidades da Secretaria Municipal de Educação, com vigência de 12 (doze) meses a partir da assinatura do contrato, conforme quantidades e especificações constantes definidas no Projeto Básico.</w:t>
      </w:r>
    </w:p>
    <w:p>
      <w:pPr>
        <w:pStyle w:val="Normal"/>
        <w:spacing w:lineRule="auto" w:line="240"/>
        <w:jc w:val="both"/>
        <w:rPr>
          <w:rFonts w:ascii="Verdana" w:hAnsi="Verdana"/>
          <w:sz w:val="20"/>
          <w:szCs w:val="20"/>
          <w:shd w:fill="auto" w:val="clear"/>
        </w:rPr>
      </w:pPr>
      <w:r>
        <w:rPr>
          <w:rFonts w:ascii="Verdana" w:hAnsi="Verdana"/>
          <w:sz w:val="20"/>
          <w:szCs w:val="20"/>
          <w:shd w:fill="auto" w:val="clear"/>
        </w:rPr>
      </w:r>
    </w:p>
    <w:p>
      <w:pPr>
        <w:pStyle w:val="Normal"/>
        <w:spacing w:lineRule="auto" w:line="240"/>
        <w:ind w:left="0" w:right="0" w:hanging="0"/>
        <w:jc w:val="both"/>
        <w:rPr>
          <w:rFonts w:ascii="Verdana" w:hAnsi="Verdana"/>
          <w:sz w:val="20"/>
          <w:szCs w:val="20"/>
        </w:rPr>
      </w:pPr>
      <w:r>
        <w:rPr>
          <w:rFonts w:ascii="Verdana" w:hAnsi="Verdana"/>
          <w:b/>
          <w:bCs/>
          <w:sz w:val="20"/>
          <w:szCs w:val="20"/>
        </w:rPr>
        <w:t>4. REQUISITOS DA CONTRATAÇÃO</w:t>
      </w:r>
    </w:p>
    <w:p>
      <w:pPr>
        <w:pStyle w:val="ListParagraph"/>
        <w:widowControl/>
        <w:tabs>
          <w:tab w:val="clear" w:pos="708"/>
          <w:tab w:val="left" w:pos="3390" w:leader="none"/>
          <w:tab w:val="center" w:pos="5032" w:leader="none"/>
        </w:tabs>
        <w:suppressAutoHyphens w:val="true"/>
        <w:overflowPunct w:val="true"/>
        <w:bidi w:val="0"/>
        <w:spacing w:lineRule="auto" w:line="240" w:before="0" w:after="0"/>
        <w:ind w:left="0" w:right="0" w:hanging="0"/>
        <w:contextualSpacing w:val="false"/>
        <w:jc w:val="both"/>
        <w:rPr>
          <w:rFonts w:ascii="Verdana" w:hAnsi="Verdana"/>
          <w:sz w:val="20"/>
          <w:szCs w:val="20"/>
        </w:rPr>
      </w:pPr>
      <w:r>
        <w:rPr>
          <w:rFonts w:eastAsia="Arial" w:cs="Arial" w:ascii="Verdana" w:hAnsi="Verdana"/>
          <w:b w:val="false"/>
          <w:bCs w:val="false"/>
          <w:sz w:val="20"/>
          <w:szCs w:val="20"/>
        </w:rPr>
        <w:t>4.1 Apresentar os documentos de cobrança, inclusive Nota Fiscal, com a descrição dos serviços realizados;</w:t>
      </w:r>
    </w:p>
    <w:p>
      <w:pPr>
        <w:pStyle w:val="ListParagraph"/>
        <w:widowControl/>
        <w:tabs>
          <w:tab w:val="clear" w:pos="708"/>
          <w:tab w:val="left" w:pos="3390" w:leader="none"/>
          <w:tab w:val="center" w:pos="5032" w:leader="none"/>
        </w:tabs>
        <w:suppressAutoHyphens w:val="true"/>
        <w:overflowPunct w:val="true"/>
        <w:bidi w:val="0"/>
        <w:spacing w:lineRule="auto" w:line="240" w:before="0" w:after="0"/>
        <w:ind w:left="0" w:right="0" w:hanging="0"/>
        <w:contextualSpacing w:val="false"/>
        <w:jc w:val="both"/>
        <w:rPr>
          <w:rFonts w:ascii="Verdana" w:hAnsi="Verdana"/>
          <w:sz w:val="20"/>
          <w:szCs w:val="20"/>
        </w:rPr>
      </w:pPr>
      <w:r>
        <w:rPr>
          <w:rFonts w:eastAsia="Arial" w:cs="Arial" w:ascii="Verdana" w:hAnsi="Verdana"/>
          <w:b w:val="false"/>
          <w:bCs w:val="false"/>
          <w:sz w:val="20"/>
          <w:szCs w:val="20"/>
        </w:rPr>
        <w:t>4</w:t>
      </w:r>
      <w:r>
        <w:rPr>
          <w:rFonts w:ascii="Verdana" w:hAnsi="Verdana"/>
          <w:b w:val="false"/>
          <w:bCs w:val="false"/>
          <w:sz w:val="20"/>
          <w:szCs w:val="20"/>
        </w:rPr>
        <w:t>.2 Assumir inteira responsabilidade civil, administrativa e penal por quaisquer danos e prejuízos, aos equipamentos ou pessoas, causados pela Contratada, seus empregados, ou prepostos ao Contratante ou a terceiros;</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4.3 Obriga-se a Contratada, mediante solicitação do Contratante, a orçar previamente eventual execução de serviços não cobertos pelo objeto do Contrato;</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4.4 Observar as prescrições relativas às leis trabalhistas, fiscais, seguros e quaisquer outros não mencionados, bem como o pagamento de todo e qualquer tributo que seja devido em decorrência direta ou indireta do Contrato, isentando o Contratante de qualquer responsabilidade;</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4.5 Manter durante a vigência do Contrato todas as condições de habilitação e qualificação exigidas pela legislação em vigor;</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4.6 Providenciar a execução do objeto do contrato preservando o bom andamento dos serviços dentro da programação prevista;</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4.7 Fornecer veículos plenamente de acordo com o exigido no objeto do contrato, em perfeito estado de uso e conservação sob pena de rescisão do contrato e das sanções previstas no mesmo, bem como na legislação pertinente;</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4.8 Promover os reparos de forma imediata quando da ocorrência de defeitos no veículo que venham a comprometer a execução do objeto do contrato.</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4.9 Promover a substituição de veículo por veículo equivalente caso não seja possível cumprir o que dispõe o item anterior, não comprometendo assim a execução do objeto do contrato.</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 xml:space="preserve">4.10 Cumprir e fazer cumprir os dispositivos legais pertinentes aos elementos de defesa e preservação do meio ambiente relativamente às legislações em nível federal, estadual e municipal; </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4.11 Permitir e facilitar aos fiscais da Prefeitura de São Gabriel da Palha a inspeção aos veículos em qualquer dia e hora, prestando todos informes e esclarecimentos solicitados, relacionados com os serviços contratados;</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4.12 Correção por conta da Contratada as despesas com contratação, remuneração de pessoal, encargos previdenciários, fiscais e trabalhistas, aquisição de peças e manutenção dos veículos destinados à execução dos serviços ora contratados, combustível, lubrificantes, graxa, bem como todas as demais despesas necessárias ao fiel cumprimento do Contrato firmado, inclusive seguro;</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4.13 Por sua conveniência, fornecer as suas expensas ao pessoal por ele empregado na execução do objeto do Contrato a ser firmado, os uniformes;</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4.14 Assumir total responsabilidade por danos causados ao Contratante ou terceiro,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4.15 Manter-se plenamente de acordo com os preceitos legais pertinentes à segurança do trabalho, adotando sempre as melhores normas técnicas de segurança e saúde aos profissionais que estarão atuando na execução do objeto do Contrato;</w:t>
      </w:r>
    </w:p>
    <w:p>
      <w:pPr>
        <w:pStyle w:val="Normal"/>
        <w:tabs>
          <w:tab w:val="clear" w:pos="708"/>
          <w:tab w:val="left" w:pos="142" w:leader="none"/>
        </w:tabs>
        <w:spacing w:lineRule="auto" w:line="240"/>
        <w:jc w:val="both"/>
        <w:rPr>
          <w:rFonts w:ascii="Verdana" w:hAnsi="Verdana"/>
          <w:sz w:val="20"/>
          <w:szCs w:val="20"/>
        </w:rPr>
      </w:pPr>
      <w:r>
        <w:rPr>
          <w:rFonts w:ascii="Verdana" w:hAnsi="Verdana"/>
          <w:b w:val="false"/>
          <w:bCs w:val="false"/>
          <w:sz w:val="20"/>
          <w:szCs w:val="20"/>
        </w:rPr>
        <w:t>4.16. Executar os serviços de acordo com a melhor técnica e nos padrões de segurança;</w:t>
      </w:r>
    </w:p>
    <w:p>
      <w:pPr>
        <w:pStyle w:val="Normal"/>
        <w:spacing w:lineRule="auto" w:line="240"/>
        <w:jc w:val="both"/>
        <w:rPr>
          <w:rFonts w:ascii="Verdana" w:hAnsi="Verdana"/>
          <w:sz w:val="20"/>
          <w:szCs w:val="20"/>
        </w:rPr>
      </w:pPr>
      <w:r>
        <w:rPr>
          <w:rFonts w:eastAsia="Arial" w:cs="Arial" w:ascii="Verdana" w:hAnsi="Verdana"/>
          <w:b w:val="false"/>
          <w:bCs w:val="false"/>
          <w:sz w:val="20"/>
          <w:szCs w:val="20"/>
        </w:rPr>
        <w:t>4.17. Atender com plenitude as exigências contidas nas especificações do objeto do Contrato seja quanto ao ônibus que prestará os serviços quanto ao pessoal que será necessário à sua execução.</w:t>
      </w:r>
    </w:p>
    <w:p>
      <w:pPr>
        <w:pStyle w:val="ListParagraph"/>
        <w:widowControl/>
        <w:tabs>
          <w:tab w:val="clear" w:pos="708"/>
          <w:tab w:val="left" w:pos="3390" w:leader="none"/>
          <w:tab w:val="center" w:pos="5032" w:leader="none"/>
        </w:tabs>
        <w:suppressAutoHyphens w:val="true"/>
        <w:overflowPunct w:val="true"/>
        <w:bidi w:val="0"/>
        <w:spacing w:lineRule="auto" w:line="240" w:before="0" w:after="0"/>
        <w:ind w:left="0" w:right="0" w:hanging="0"/>
        <w:contextualSpacing w:val="false"/>
        <w:jc w:val="both"/>
        <w:rPr>
          <w:rFonts w:ascii="Verdana" w:hAnsi="Verdana"/>
          <w:sz w:val="20"/>
          <w:szCs w:val="20"/>
        </w:rPr>
      </w:pPr>
      <w:r>
        <w:rPr>
          <w:rFonts w:cs="Arial" w:ascii="Verdana" w:hAnsi="Verdana"/>
          <w:b/>
          <w:sz w:val="20"/>
          <w:szCs w:val="20"/>
        </w:rPr>
        <w:tab/>
      </w:r>
    </w:p>
    <w:p>
      <w:pPr>
        <w:pStyle w:val="Normal"/>
        <w:spacing w:lineRule="auto" w:line="240"/>
        <w:ind w:right="0" w:hanging="0"/>
        <w:jc w:val="both"/>
        <w:rPr>
          <w:rFonts w:ascii="Verdana" w:hAnsi="Verdana"/>
          <w:sz w:val="20"/>
          <w:szCs w:val="20"/>
        </w:rPr>
      </w:pPr>
      <w:r>
        <w:rPr>
          <w:rFonts w:ascii="Verdana" w:hAnsi="Verdana"/>
          <w:b/>
          <w:bCs/>
          <w:sz w:val="20"/>
          <w:szCs w:val="20"/>
        </w:rPr>
        <w:t xml:space="preserve">5. MODELO DE EXECUÇÃO CONTRATUAL - </w:t>
      </w:r>
      <w:r>
        <w:rPr>
          <w:rFonts w:cs="Arial" w:ascii="Verdana" w:hAnsi="Verdana"/>
          <w:b/>
          <w:bCs w:val="false"/>
          <w:iCs/>
          <w:sz w:val="20"/>
          <w:szCs w:val="20"/>
          <w:u w:val="none"/>
        </w:rPr>
        <w:t>ENTREGA E CRITÉRIOS DE ACEITAÇÃO DO OBJETO</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cs="Times New Roman" w:ascii="Verdana" w:hAnsi="Verdana"/>
          <w:b w:val="false"/>
          <w:bCs w:val="false"/>
          <w:iCs/>
          <w:sz w:val="20"/>
          <w:szCs w:val="20"/>
          <w:u w:val="none"/>
        </w:rPr>
        <w:t>5.1. Haverá celebração de contrato, por 12 (doze) meses podendo ser prorrogado na forma da lei vigente.</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cs="Times New Roman" w:ascii="Verdana" w:hAnsi="Verdana"/>
          <w:b w:val="false"/>
          <w:bCs w:val="false"/>
          <w:iCs/>
          <w:sz w:val="20"/>
          <w:szCs w:val="20"/>
          <w:u w:val="none"/>
        </w:rPr>
        <w:t xml:space="preserve">5.1.1. </w:t>
      </w:r>
      <w:r>
        <w:rPr>
          <w:rFonts w:cs="Arial" w:ascii="Verdana" w:hAnsi="Verdana"/>
          <w:b w:val="false"/>
          <w:bCs w:val="false"/>
          <w:iCs/>
          <w:sz w:val="20"/>
          <w:szCs w:val="20"/>
          <w:u w:val="none"/>
        </w:rPr>
        <w:t>Os serviços serão executados em todo território municipal.</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cs="Times New Roman" w:ascii="Verdana" w:hAnsi="Verdana"/>
          <w:b w:val="false"/>
          <w:bCs w:val="false"/>
          <w:iCs/>
          <w:sz w:val="20"/>
          <w:szCs w:val="20"/>
          <w:u w:val="none"/>
        </w:rPr>
        <w:t xml:space="preserve">5.2. </w:t>
      </w:r>
      <w:r>
        <w:rPr>
          <w:rFonts w:cs="Arial" w:ascii="Verdana" w:hAnsi="Verdana"/>
          <w:sz w:val="20"/>
          <w:szCs w:val="20"/>
        </w:rPr>
        <w:t>A Empresa vencedora deverá garantir a qualidade do serviço, conforme com o apresentado na proposta.</w:t>
      </w:r>
    </w:p>
    <w:p>
      <w:pPr>
        <w:pStyle w:val="ListParagraph"/>
        <w:spacing w:lineRule="auto" w:line="240" w:before="0" w:after="0"/>
        <w:ind w:left="0" w:hanging="0"/>
        <w:contextualSpacing w:val="false"/>
        <w:jc w:val="both"/>
        <w:rPr>
          <w:rFonts w:ascii="Verdana" w:hAnsi="Verdana"/>
          <w:sz w:val="20"/>
          <w:szCs w:val="20"/>
        </w:rPr>
      </w:pPr>
      <w:r>
        <w:rPr>
          <w:rFonts w:cs="Arial" w:ascii="Verdana" w:hAnsi="Verdana"/>
          <w:b w:val="false"/>
          <w:bCs w:val="false"/>
          <w:sz w:val="20"/>
          <w:szCs w:val="20"/>
        </w:rPr>
        <w:t>5.3. O recebimento definitivo dos serviços realizados dar-se-á pela conferência com a descrição constante da ordem de fornecimento ou serviço;</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cs="Arial" w:ascii="Verdana" w:hAnsi="Verdana"/>
          <w:b w:val="false"/>
          <w:bCs w:val="false"/>
          <w:iCs/>
          <w:sz w:val="20"/>
          <w:szCs w:val="20"/>
          <w:u w:val="none"/>
        </w:rPr>
        <w:t>5.4 O recebimento definitivo não isenta a CONTRATADA de responsabilidades futuras quanto à qualidade dos fornecimentos e serviços prestados.</w:t>
      </w:r>
    </w:p>
    <w:p>
      <w:pPr>
        <w:pStyle w:val="ListParagraph"/>
        <w:tabs>
          <w:tab w:val="clear" w:pos="708"/>
          <w:tab w:val="left" w:pos="0" w:leader="none"/>
          <w:tab w:val="left" w:pos="450" w:leader="none"/>
        </w:tabs>
        <w:spacing w:lineRule="auto" w:line="240"/>
        <w:ind w:left="0" w:right="0" w:hanging="0"/>
        <w:jc w:val="both"/>
        <w:rPr>
          <w:rFonts w:ascii="Verdana" w:hAnsi="Verdana"/>
          <w:sz w:val="20"/>
          <w:szCs w:val="20"/>
        </w:rPr>
      </w:pPr>
      <w:r>
        <w:rPr>
          <w:rFonts w:eastAsia="Arial" w:cs="Arial" w:ascii="Verdana" w:hAnsi="Verdana"/>
          <w:b w:val="false"/>
          <w:bCs w:val="false"/>
          <w:iCs/>
          <w:color w:val="auto"/>
          <w:kern w:val="0"/>
          <w:sz w:val="20"/>
          <w:szCs w:val="20"/>
          <w:u w:val="none"/>
          <w:lang w:val="pt-BR" w:eastAsia="pt-BR" w:bidi="ar-SA"/>
        </w:rPr>
        <w:t xml:space="preserve">5.5. </w:t>
      </w:r>
      <w:r>
        <w:rPr>
          <w:rFonts w:eastAsia="Arial" w:cs="Arial" w:ascii="Verdana" w:hAnsi="Verdana"/>
          <w:b w:val="false"/>
          <w:bCs w:val="false"/>
          <w:iCs/>
          <w:color w:val="auto"/>
          <w:kern w:val="0"/>
          <w:sz w:val="20"/>
          <w:szCs w:val="20"/>
          <w:u w:val="none"/>
          <w:lang w:val="pt-BR" w:eastAsia="zh-CN" w:bidi="ar-SA"/>
        </w:rPr>
        <w:t>CONTATO</w:t>
      </w:r>
    </w:p>
    <w:p>
      <w:pPr>
        <w:pStyle w:val="Normal"/>
        <w:spacing w:lineRule="auto" w:line="240"/>
        <w:jc w:val="both"/>
        <w:rPr>
          <w:rFonts w:ascii="Verdana" w:hAnsi="Verdana"/>
          <w:sz w:val="20"/>
          <w:szCs w:val="20"/>
        </w:rPr>
      </w:pPr>
      <w:r>
        <w:rPr>
          <w:rFonts w:cs="Arial" w:ascii="Verdana" w:hAnsi="Verdana"/>
          <w:b w:val="false"/>
          <w:bCs w:val="false"/>
          <w:sz w:val="20"/>
          <w:szCs w:val="20"/>
        </w:rPr>
        <w:t>Tel: 27 3727-1993</w:t>
      </w:r>
    </w:p>
    <w:p>
      <w:pPr>
        <w:pStyle w:val="Normal"/>
        <w:spacing w:lineRule="auto" w:line="240"/>
        <w:jc w:val="both"/>
        <w:rPr>
          <w:rFonts w:ascii="Verdana" w:hAnsi="Verdana"/>
          <w:sz w:val="20"/>
          <w:szCs w:val="20"/>
        </w:rPr>
      </w:pPr>
      <w:r>
        <w:rPr>
          <w:rFonts w:cs="Arial" w:ascii="Verdana" w:hAnsi="Verdana"/>
          <w:b w:val="false"/>
          <w:bCs w:val="false"/>
          <w:sz w:val="20"/>
          <w:szCs w:val="20"/>
        </w:rPr>
        <w:t>Email: transportesemedsgp@gmail.com</w:t>
      </w:r>
    </w:p>
    <w:p>
      <w:pPr>
        <w:pStyle w:val="Normal"/>
        <w:spacing w:lineRule="auto" w:line="240"/>
        <w:jc w:val="both"/>
        <w:rPr>
          <w:rFonts w:ascii="Verdana" w:hAnsi="Verdana"/>
          <w:sz w:val="20"/>
          <w:szCs w:val="20"/>
        </w:rPr>
      </w:pPr>
      <w:r>
        <w:rPr>
          <w:rFonts w:cs="Arial" w:ascii="Verdana" w:hAnsi="Verdana"/>
          <w:b w:val="false"/>
          <w:bCs w:val="false"/>
          <w:sz w:val="20"/>
          <w:szCs w:val="20"/>
        </w:rPr>
        <w:t>Responsável: Secretaria Municipal de Educação</w:t>
      </w:r>
    </w:p>
    <w:p>
      <w:pPr>
        <w:pStyle w:val="Normal"/>
        <w:tabs>
          <w:tab w:val="clear" w:pos="708"/>
          <w:tab w:val="left" w:pos="508" w:leader="none"/>
        </w:tabs>
        <w:spacing w:lineRule="auto" w:line="240"/>
        <w:ind w:right="0" w:hanging="0"/>
        <w:jc w:val="both"/>
        <w:rPr>
          <w:rFonts w:ascii="Verdana" w:hAnsi="Verdana"/>
          <w:sz w:val="20"/>
          <w:szCs w:val="20"/>
        </w:rPr>
      </w:pPr>
      <w:r>
        <w:rPr>
          <w:rFonts w:cs="Times New Roman" w:ascii="Verdana" w:hAnsi="Verdana"/>
          <w:b w:val="false"/>
          <w:bCs w:val="false"/>
          <w:iCs/>
          <w:color w:val="auto"/>
          <w:sz w:val="20"/>
          <w:szCs w:val="20"/>
        </w:rPr>
        <w:t>5.6</w:t>
      </w:r>
      <w:r>
        <w:rPr>
          <w:rFonts w:cs="Times New Roman" w:ascii="Verdana" w:hAnsi="Verdana"/>
          <w:b/>
          <w:bCs/>
          <w:iCs/>
          <w:color w:val="auto"/>
          <w:sz w:val="20"/>
          <w:szCs w:val="20"/>
        </w:rPr>
        <w:t xml:space="preserve">. </w:t>
      </w:r>
      <w:r>
        <w:rPr>
          <w:rFonts w:cs="Times New Roman" w:ascii="Verdana" w:hAnsi="Verdana"/>
          <w:bCs/>
          <w:iCs/>
          <w:color w:val="auto"/>
          <w:sz w:val="20"/>
          <w:szCs w:val="20"/>
        </w:rPr>
        <w:t xml:space="preserve">Caso não seja possível a realização na data assinalada, a empresa deverá comunicar as razões respectivas com pelo menos 03 (três) dias de antecedência para que qualquer pleito de prorrogação de prazo seja analisado, ressalvadas situações de caso fortuito e </w:t>
      </w:r>
      <w:r>
        <w:rPr>
          <w:rFonts w:cs="Times New Roman" w:ascii="Verdana" w:hAnsi="Verdana"/>
          <w:iCs/>
          <w:color w:val="auto"/>
          <w:sz w:val="20"/>
          <w:szCs w:val="20"/>
        </w:rPr>
        <w:t>força</w:t>
      </w:r>
      <w:r>
        <w:rPr>
          <w:rFonts w:cs="Times New Roman" w:ascii="Verdana" w:hAnsi="Verdana"/>
          <w:bCs/>
          <w:iCs/>
          <w:color w:val="auto"/>
          <w:sz w:val="20"/>
          <w:szCs w:val="20"/>
        </w:rPr>
        <w:t xml:space="preserve"> maior.</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5.7.</w:t>
      </w:r>
      <w:r>
        <w:rPr>
          <w:rFonts w:cs="Times New Roman" w:ascii="Verdana" w:hAnsi="Verdana"/>
          <w:bCs/>
          <w:color w:val="auto"/>
          <w:sz w:val="20"/>
          <w:szCs w:val="20"/>
        </w:rPr>
        <w:t xml:space="preserve"> A entrega será acompanhada e fiscalizada por funcionário da secretaria requisitante, para efeito de posterior verificação de sua conformidade com as especificações constantes neste Termo de Referência e na proposta.</w:t>
      </w:r>
    </w:p>
    <w:p>
      <w:pPr>
        <w:pStyle w:val="Nivel2"/>
        <w:spacing w:lineRule="auto" w:line="240" w:before="0" w:after="0"/>
        <w:ind w:left="0" w:right="0" w:hanging="0"/>
        <w:rPr>
          <w:rFonts w:ascii="Verdana" w:hAnsi="Verdana"/>
          <w:sz w:val="20"/>
          <w:szCs w:val="20"/>
        </w:rPr>
      </w:pPr>
      <w:r>
        <w:rPr>
          <w:rFonts w:cs="Times New Roman" w:ascii="Verdana" w:hAnsi="Verdana"/>
          <w:b w:val="false"/>
          <w:bCs w:val="false"/>
          <w:color w:val="auto"/>
          <w:sz w:val="20"/>
          <w:szCs w:val="20"/>
        </w:rPr>
        <w:t>5.11.</w:t>
      </w:r>
      <w:r>
        <w:rPr>
          <w:rFonts w:cs="Times New Roman" w:ascii="Verdana" w:hAnsi="Verdana"/>
          <w:bCs/>
          <w:color w:val="auto"/>
          <w:sz w:val="20"/>
          <w:szCs w:val="20"/>
        </w:rPr>
        <w:t xml:space="preserve"> O objeto poderá ser rejeitado, no todo ou em parte, quando em desacordo com as especificações constantes no ETP, neste Termo de Referência, no Contrato e na respectiva Autorização de Fornecimento, devendo ser substituído/executado imediatamente, no momento da constatação pelo demandante,  às suas custas.</w:t>
      </w:r>
    </w:p>
    <w:p>
      <w:pPr>
        <w:pStyle w:val="ListParagraph"/>
        <w:spacing w:lineRule="auto" w:line="240"/>
        <w:ind w:left="0" w:right="0" w:hanging="0"/>
        <w:jc w:val="both"/>
        <w:rPr>
          <w:rFonts w:ascii="Verdana" w:hAnsi="Verdana"/>
          <w:sz w:val="20"/>
          <w:szCs w:val="20"/>
        </w:rPr>
      </w:pPr>
      <w:r>
        <w:rPr>
          <w:rFonts w:ascii="Verdana" w:hAnsi="Verdana"/>
          <w:b w:val="false"/>
          <w:bCs w:val="false"/>
          <w:sz w:val="20"/>
          <w:szCs w:val="20"/>
        </w:rPr>
        <w:t>5.12.</w:t>
      </w:r>
      <w:r>
        <w:rPr>
          <w:rFonts w:ascii="Verdana" w:hAnsi="Verdana"/>
          <w:b/>
          <w:bCs/>
          <w:sz w:val="20"/>
          <w:szCs w:val="20"/>
        </w:rPr>
        <w:t xml:space="preserve"> </w:t>
      </w:r>
      <w:r>
        <w:rPr>
          <w:rFonts w:ascii="Verdana" w:hAnsi="Verdana"/>
          <w:sz w:val="20"/>
          <w:szCs w:val="20"/>
        </w:rPr>
        <w:t xml:space="preserve">O recebimento provisório ou definitivo não excluirá a responsabilidade </w:t>
      </w:r>
      <w:r>
        <w:rPr>
          <w:rFonts w:eastAsia="Times New Roman" w:cs="Times New Roman" w:ascii="Verdana" w:hAnsi="Verdana"/>
          <w:sz w:val="20"/>
          <w:szCs w:val="20"/>
        </w:rPr>
        <w:t>da contratada pelos prejuízos resultantes da incorreta execução do contrato.</w:t>
      </w:r>
    </w:p>
    <w:p>
      <w:pPr>
        <w:pStyle w:val="Nivel2"/>
        <w:tabs>
          <w:tab w:val="clear" w:pos="708"/>
          <w:tab w:val="left" w:pos="508" w:leader="none"/>
        </w:tabs>
        <w:spacing w:lineRule="auto" w:line="240" w:before="0" w:after="0"/>
        <w:ind w:left="0" w:right="0" w:hanging="0"/>
        <w:rPr>
          <w:rFonts w:ascii="Verdana" w:hAnsi="Verdana"/>
          <w:sz w:val="20"/>
          <w:szCs w:val="20"/>
        </w:rPr>
      </w:pPr>
      <w:r>
        <w:rPr>
          <w:rFonts w:eastAsia="Times New Roman" w:cs="Times New Roman" w:ascii="Verdana" w:hAnsi="Verdana"/>
          <w:b w:val="false"/>
          <w:bCs w:val="false"/>
          <w:iCs/>
          <w:color w:val="auto"/>
          <w:sz w:val="20"/>
          <w:szCs w:val="20"/>
          <w:lang w:eastAsia="pt-BR"/>
        </w:rPr>
        <w:t>5.13. No caso de recusa da execução dos serviços pelo fornecedor, a Administração Pública adotará as providências cabíveis, de cordo com a legislação aplicável, visando sanar problemas por ventura ocorridos.</w:t>
      </w:r>
    </w:p>
    <w:p>
      <w:pPr>
        <w:pStyle w:val="Nivel2"/>
        <w:tabs>
          <w:tab w:val="clear" w:pos="708"/>
          <w:tab w:val="left" w:pos="508" w:leader="none"/>
        </w:tabs>
        <w:spacing w:lineRule="auto" w:line="240" w:before="0" w:after="0"/>
        <w:ind w:left="0" w:right="0" w:hanging="0"/>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ascii="Verdana" w:hAnsi="Verdana"/>
          <w:b/>
          <w:bCs/>
          <w:sz w:val="20"/>
          <w:szCs w:val="20"/>
        </w:rPr>
        <w:t>6.</w:t>
      </w:r>
      <w:r>
        <w:rPr>
          <w:rFonts w:cs="Arial" w:ascii="Verdana" w:hAnsi="Verdana"/>
          <w:b/>
          <w:bCs/>
          <w:sz w:val="20"/>
          <w:szCs w:val="20"/>
        </w:rPr>
        <w:t xml:space="preserve"> DEFINIÇÃO E JUSTIFICATIVA DE CARACTERIZAÇÃO DO OBJETO E PRAZOS DA CONTRATAÇÃO</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6.1. </w:t>
      </w:r>
      <w:r>
        <w:rPr>
          <w:rFonts w:cs="Arial" w:ascii="Verdana" w:hAnsi="Verdana"/>
          <w:b w:val="false"/>
          <w:bCs w:val="false"/>
          <w:sz w:val="20"/>
          <w:szCs w:val="20"/>
        </w:rPr>
        <w:t>A especificação</w:t>
      </w:r>
      <w:r>
        <w:rPr>
          <w:rFonts w:eastAsia="Times New Roman" w:cs="Arial" w:ascii="Verdana" w:hAnsi="Verdana"/>
          <w:b w:val="false"/>
          <w:bCs w:val="false"/>
          <w:color w:val="auto"/>
          <w:kern w:val="0"/>
          <w:sz w:val="20"/>
          <w:szCs w:val="20"/>
          <w:lang w:val="pt-BR" w:eastAsia="zh-CN" w:bidi="ar-SA"/>
        </w:rPr>
        <w:t xml:space="preserve"> do objeto </w:t>
      </w:r>
      <w:r>
        <w:rPr>
          <w:rFonts w:cs="Arial" w:ascii="Verdana" w:hAnsi="Verdana"/>
          <w:b w:val="false"/>
          <w:bCs w:val="false"/>
          <w:sz w:val="20"/>
          <w:szCs w:val="20"/>
        </w:rPr>
        <w:t xml:space="preserve">contido </w:t>
      </w:r>
      <w:r>
        <w:rPr>
          <w:rFonts w:eastAsia="Times New Roman" w:cs="Arial" w:ascii="Verdana" w:hAnsi="Verdana"/>
          <w:b w:val="false"/>
          <w:bCs w:val="false"/>
          <w:color w:val="auto"/>
          <w:kern w:val="0"/>
          <w:sz w:val="20"/>
          <w:szCs w:val="20"/>
          <w:lang w:val="pt-BR" w:eastAsia="pt-BR" w:bidi="ar-SA"/>
        </w:rPr>
        <w:t>neste Termo de Referência,</w:t>
      </w:r>
      <w:r>
        <w:rPr>
          <w:rFonts w:cs="Arial" w:ascii="Verdana" w:hAnsi="Verdana"/>
          <w:b w:val="false"/>
          <w:bCs w:val="false"/>
          <w:sz w:val="20"/>
          <w:szCs w:val="20"/>
        </w:rPr>
        <w:t xml:space="preserve"> foi estudada para atender todas as necessidades apresentadas e é necessária a garantir água de qualidade aos estudantes</w:t>
      </w:r>
      <w:r>
        <w:rPr>
          <w:rFonts w:eastAsia="Times New Roman" w:cs="Arial" w:ascii="Verdana" w:hAnsi="Verdana"/>
          <w:b w:val="false"/>
          <w:bCs w:val="false"/>
          <w:color w:val="auto"/>
          <w:kern w:val="0"/>
          <w:sz w:val="20"/>
          <w:szCs w:val="20"/>
          <w:lang w:val="pt-BR" w:eastAsia="zh-CN" w:bidi="ar-SA"/>
        </w:rPr>
        <w:t>, conforme descrito no ETP.</w:t>
      </w:r>
    </w:p>
    <w:p>
      <w:pPr>
        <w:pStyle w:val="Normal"/>
        <w:spacing w:lineRule="auto" w:line="240" w:before="0" w:after="0"/>
        <w:jc w:val="both"/>
        <w:rPr>
          <w:rFonts w:ascii="Verdana" w:hAnsi="Verdana"/>
          <w:sz w:val="20"/>
          <w:szCs w:val="20"/>
        </w:rPr>
      </w:pPr>
      <w:r>
        <w:rPr>
          <w:rFonts w:eastAsia="Times New Roman" w:cs="Arial" w:ascii="Verdana" w:hAnsi="Verdana"/>
          <w:b w:val="false"/>
          <w:bCs w:val="false"/>
          <w:color w:val="auto"/>
          <w:kern w:val="0"/>
          <w:sz w:val="20"/>
          <w:szCs w:val="20"/>
          <w:lang w:val="pt-BR" w:eastAsia="pt-BR" w:bidi="ar-SA"/>
        </w:rPr>
        <w:t xml:space="preserve">6.2. </w:t>
      </w:r>
      <w:r>
        <w:rPr>
          <w:rFonts w:eastAsia="Times New Roman" w:cs="Arial" w:ascii="Verdana" w:hAnsi="Verdana"/>
          <w:b w:val="false"/>
          <w:bCs w:val="false"/>
          <w:color w:val="auto"/>
          <w:kern w:val="0"/>
          <w:sz w:val="20"/>
          <w:szCs w:val="20"/>
          <w:lang w:val="pt-BR" w:eastAsia="zh-CN" w:bidi="ar-SA"/>
        </w:rPr>
        <w:t>O fornecedor deverá prestar o serviço de acordo com as informações contidas neste Termo de Referência e no ETP.</w:t>
      </w:r>
    </w:p>
    <w:p>
      <w:pPr>
        <w:pStyle w:val="Normal"/>
        <w:spacing w:lineRule="auto" w:line="240" w:before="0" w:after="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sz w:val="20"/>
          <w:szCs w:val="20"/>
        </w:rPr>
        <w:t>7. RESPONSABILIDADES DO CONTRA</w:t>
      </w:r>
      <w:r>
        <w:rPr>
          <w:rFonts w:cs="Arial" w:ascii="Verdana" w:hAnsi="Verdana"/>
          <w:b/>
          <w:bCs/>
          <w:sz w:val="20"/>
          <w:szCs w:val="20"/>
          <w:u w:val="none"/>
        </w:rPr>
        <w:t>TANTE</w:t>
      </w:r>
    </w:p>
    <w:p>
      <w:pPr>
        <w:pStyle w:val="Normal"/>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7.1.</w:t>
      </w:r>
      <w:r>
        <w:rPr>
          <w:rFonts w:cs="Arial" w:ascii="Verdana" w:hAnsi="Verdana"/>
          <w:b w:val="false"/>
          <w:bCs w:val="false"/>
          <w:i w:val="false"/>
          <w:iCs w:val="false"/>
          <w:color w:val="000000"/>
          <w:sz w:val="20"/>
          <w:szCs w:val="20"/>
        </w:rPr>
        <w:t xml:space="preserve"> </w:t>
      </w:r>
      <w:r>
        <w:rPr>
          <w:rFonts w:eastAsia="Times New Roman" w:cs="Arial" w:ascii="Verdana" w:hAnsi="Verdana"/>
          <w:b w:val="false"/>
          <w:bCs w:val="false"/>
          <w:i w:val="false"/>
          <w:iCs w:val="false"/>
          <w:color w:val="000000"/>
          <w:kern w:val="0"/>
          <w:sz w:val="20"/>
          <w:szCs w:val="20"/>
          <w:lang w:val="pt-BR" w:eastAsia="pt-BR" w:bidi="ar-SA"/>
        </w:rPr>
        <w:t>Averiguar a prestação do serviço/entrega</w:t>
      </w:r>
      <w:r>
        <w:rPr>
          <w:rFonts w:cs="Arial" w:ascii="Verdana" w:hAnsi="Verdana"/>
          <w:b w:val="false"/>
          <w:bCs w:val="false"/>
          <w:i w:val="false"/>
          <w:iCs w:val="false"/>
          <w:color w:val="000000"/>
          <w:sz w:val="20"/>
          <w:szCs w:val="20"/>
        </w:rPr>
        <w:t xml:space="preserve"> no prazo e condições estabelecidas neste Termo de Referência e seus anexos.</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7.2. Verificar minuciosamente, no prazo fixado, a conformidade dos </w:t>
      </w:r>
      <w:r>
        <w:rPr>
          <w:rFonts w:eastAsia="Times New Roman" w:cs="Arial" w:ascii="Verdana" w:hAnsi="Verdana"/>
          <w:b w:val="false"/>
          <w:bCs w:val="false"/>
          <w:i w:val="false"/>
          <w:iCs w:val="false"/>
          <w:color w:val="000000"/>
          <w:kern w:val="0"/>
          <w:sz w:val="20"/>
          <w:szCs w:val="20"/>
          <w:lang w:val="pt-BR" w:eastAsia="pt-BR" w:bidi="ar-SA"/>
        </w:rPr>
        <w:t xml:space="preserve">serviços/entrega prestado </w:t>
      </w:r>
      <w:r>
        <w:rPr>
          <w:rFonts w:cs="Arial" w:ascii="Verdana" w:hAnsi="Verdana"/>
          <w:b w:val="false"/>
          <w:bCs w:val="false"/>
          <w:i w:val="false"/>
          <w:iCs w:val="false"/>
          <w:color w:val="000000"/>
          <w:sz w:val="20"/>
          <w:szCs w:val="20"/>
        </w:rPr>
        <w:t>provisoriamente com as especificações constantes neste Termo de Referência e da proposta, para fins de aceitação e recebimento definitivo.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 xml:space="preserve">7.3. Comunicar à Contratada, por escrito, sobre imperfeições, falhas ou irregularidades verificadas no </w:t>
      </w:r>
      <w:r>
        <w:rPr>
          <w:rFonts w:eastAsia="Times New Roman" w:cs="Arial" w:ascii="Verdana" w:hAnsi="Verdana"/>
          <w:b w:val="false"/>
          <w:bCs w:val="false"/>
          <w:i w:val="false"/>
          <w:iCs w:val="false"/>
          <w:color w:val="000000"/>
          <w:kern w:val="0"/>
          <w:sz w:val="20"/>
          <w:szCs w:val="20"/>
          <w:lang w:val="pt-BR" w:eastAsia="pt-BR" w:bidi="ar-SA"/>
        </w:rPr>
        <w:t xml:space="preserve">serviço </w:t>
      </w:r>
      <w:r>
        <w:rPr>
          <w:rFonts w:cs="Arial" w:ascii="Verdana" w:hAnsi="Verdana"/>
          <w:b w:val="false"/>
          <w:bCs w:val="false"/>
          <w:i w:val="false"/>
          <w:iCs w:val="false"/>
          <w:color w:val="000000"/>
          <w:sz w:val="20"/>
          <w:szCs w:val="20"/>
        </w:rPr>
        <w:t>fornecido, para que seja substituído, reparado ou corrigido.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7.4. Acompanhar e fiscalizar o cumprimento das obrigações da Contratada, através de comissão/servidor especialmente designado.</w:t>
      </w:r>
    </w:p>
    <w:p>
      <w:pPr>
        <w:pStyle w:val="Normal"/>
        <w:spacing w:lineRule="auto" w:line="240" w:before="57" w:after="57"/>
        <w:ind w:left="0" w:right="0" w:hanging="0"/>
        <w:jc w:val="both"/>
        <w:rPr>
          <w:rFonts w:ascii="Verdana" w:hAnsi="Verdana"/>
          <w:sz w:val="20"/>
          <w:szCs w:val="20"/>
        </w:rPr>
      </w:pPr>
      <w:r>
        <w:rPr>
          <w:rFonts w:cs="Arial" w:ascii="Verdana" w:hAnsi="Verdana"/>
          <w:b w:val="false"/>
          <w:bCs w:val="false"/>
          <w:i w:val="false"/>
          <w:iCs w:val="false"/>
          <w:color w:val="000000"/>
          <w:sz w:val="20"/>
          <w:szCs w:val="20"/>
        </w:rPr>
        <w:t>7.5. Efetuar o pagamento à Contratada no valor correspondente ao fornecimento dos objetos, no prazo e forma estabelecidos neste TR e seus anexos.</w:t>
      </w:r>
    </w:p>
    <w:p>
      <w:pPr>
        <w:pStyle w:val="Normal"/>
        <w:spacing w:lineRule="auto" w:line="240" w:before="57" w:after="57"/>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rPr>
        <w:t xml:space="preserve">7.6. </w:t>
      </w:r>
      <w:r>
        <w:rPr>
          <w:rFonts w:cs="Arial" w:ascii="Verdana" w:hAnsi="Verdana"/>
          <w:b w:val="false"/>
          <w:bCs w:val="false"/>
          <w:i w:val="false"/>
          <w:iCs w:val="false"/>
          <w:color w:val="000000"/>
          <w:sz w:val="20"/>
          <w:szCs w:val="20"/>
        </w:rPr>
        <w:t xml:space="preserve">A Administração não responderá por quaisquer compromissos assumidos pela Contratada com terceiros, ainda que vinculados à execução </w:t>
      </w:r>
      <w:r>
        <w:rPr>
          <w:rFonts w:eastAsia="Times New Roman" w:cs="Arial" w:ascii="Verdana" w:hAnsi="Verdana"/>
          <w:b w:val="false"/>
          <w:bCs w:val="false"/>
          <w:i w:val="false"/>
          <w:iCs w:val="false"/>
          <w:color w:val="000000"/>
          <w:sz w:val="20"/>
          <w:szCs w:val="20"/>
        </w:rPr>
        <w:t>da presente aquisição,</w:t>
      </w:r>
      <w:r>
        <w:rPr>
          <w:rFonts w:cs="Arial" w:ascii="Verdana" w:hAnsi="Verdana"/>
          <w:b w:val="false"/>
          <w:bCs w:val="false"/>
          <w:i w:val="false"/>
          <w:iCs w:val="false"/>
          <w:color w:val="000000"/>
          <w:sz w:val="20"/>
          <w:szCs w:val="20"/>
        </w:rPr>
        <w:t xml:space="preserve"> bem como por qualquer dano causado a terceiros em decorrência de ato da Contratada, de seus empregados, prepostos ou subordinados.</w:t>
      </w:r>
    </w:p>
    <w:p>
      <w:pPr>
        <w:pStyle w:val="Normal"/>
        <w:spacing w:lineRule="auto" w:line="240" w:before="0" w:after="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cs="Arial" w:ascii="Verdana" w:hAnsi="Verdana"/>
          <w:b/>
          <w:bCs/>
          <w:i w:val="false"/>
          <w:iCs w:val="false"/>
          <w:color w:val="000000"/>
          <w:sz w:val="20"/>
          <w:szCs w:val="20"/>
        </w:rPr>
        <w:t>8. OBRIGAÇÕES DA CONTRATADA</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u w:val="none"/>
        </w:rPr>
        <w:t>8.1. A Contratada deve cumprir todas as obrigações constantes neste TR, seus anexos e sua proposta, assumindo como exclusivamente seus os riscos e as despesas decorrentes da boa e perfeita execução do objeto.</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u w:val="none"/>
        </w:rPr>
        <w:t>8.2. Efetuar a execução do serviço/entrega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40"/>
        <w:ind w:left="0" w:right="0" w:hanging="0"/>
        <w:jc w:val="both"/>
        <w:rPr>
          <w:rFonts w:ascii="Verdana" w:hAnsi="Verdana"/>
          <w:sz w:val="20"/>
          <w:szCs w:val="20"/>
        </w:rPr>
      </w:pPr>
      <w:r>
        <w:rPr>
          <w:rFonts w:cs="Arial" w:ascii="Verdana" w:hAnsi="Verdana"/>
          <w:b w:val="false"/>
          <w:bCs w:val="false"/>
          <w:i w:val="false"/>
          <w:iCs w:val="false"/>
          <w:color w:val="000000"/>
          <w:sz w:val="20"/>
          <w:szCs w:val="20"/>
          <w:u w:val="none"/>
        </w:rPr>
        <w:t>8.3. Substituir, reparar ou corrigir, às suas expensas, no prazo fixado neste Termo de Referência, o objeto com avarias ou defeitos.</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rPr>
        <w:t xml:space="preserve">8.4. </w:t>
      </w:r>
      <w:r>
        <w:rPr>
          <w:rFonts w:cs="Arial" w:ascii="Verdana" w:hAnsi="Verdana"/>
          <w:b w:val="false"/>
          <w:bCs w:val="false"/>
          <w:i w:val="false"/>
          <w:iCs w:val="false"/>
          <w:color w:val="000000"/>
          <w:sz w:val="20"/>
          <w:szCs w:val="20"/>
          <w:u w:val="none"/>
        </w:rPr>
        <w:t>Indicar preposto para representá-la.</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rPr>
        <w:t xml:space="preserve">8.5. </w:t>
      </w:r>
      <w:r>
        <w:rPr>
          <w:rFonts w:cs="Arial" w:ascii="Verdana" w:hAnsi="Verdana"/>
          <w:b w:val="false"/>
          <w:bCs w:val="false"/>
          <w:i w:val="false"/>
          <w:iCs w:val="false"/>
          <w:color w:val="000000"/>
          <w:sz w:val="20"/>
          <w:szCs w:val="20"/>
          <w:u w:val="none"/>
        </w:rPr>
        <w:t>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ind w:left="0" w:right="0" w:hanging="0"/>
        <w:jc w:val="both"/>
        <w:rPr>
          <w:rFonts w:ascii="Verdana" w:hAnsi="Verdana"/>
          <w:sz w:val="20"/>
          <w:szCs w:val="20"/>
        </w:rPr>
      </w:pPr>
      <w:r>
        <w:rPr>
          <w:rFonts w:eastAsia="Times New Roman" w:cs="Arial" w:ascii="Verdana" w:hAnsi="Verdana"/>
          <w:b w:val="false"/>
          <w:bCs w:val="false"/>
          <w:i w:val="false"/>
          <w:iCs w:val="false"/>
          <w:color w:val="000000"/>
          <w:sz w:val="20"/>
          <w:szCs w:val="20"/>
          <w:u w:val="none"/>
        </w:rPr>
        <w:t xml:space="preserve">8.6. </w:t>
      </w:r>
      <w:r>
        <w:rPr>
          <w:rFonts w:cs="Arial" w:ascii="Verdana" w:hAnsi="Verdana"/>
          <w:b w:val="false"/>
          <w:bCs w:val="false"/>
          <w:i w:val="false"/>
          <w:iCs w:val="false"/>
          <w:color w:val="000000"/>
          <w:sz w:val="20"/>
          <w:szCs w:val="20"/>
          <w:u w:val="none"/>
        </w:rPr>
        <w:t>A nota fiscal deverá ser acompanhada pelas Certidões de Regularidades Fiscais.</w:t>
      </w:r>
      <w:r>
        <w:rPr>
          <w:rFonts w:ascii="Verdana" w:hAnsi="Verdana"/>
          <w:b w:val="false"/>
          <w:bCs w:val="false"/>
          <w:sz w:val="20"/>
          <w:szCs w:val="20"/>
          <w:u w:val="none"/>
        </w:rPr>
        <w:br/>
      </w:r>
      <w:r>
        <w:rPr>
          <w:rFonts w:cs="Arial" w:ascii="Verdana" w:hAnsi="Verdana"/>
          <w:b w:val="false"/>
          <w:bCs w:val="false"/>
          <w:i w:val="false"/>
          <w:iCs w:val="false"/>
          <w:color w:val="000000"/>
          <w:sz w:val="20"/>
          <w:szCs w:val="20"/>
          <w:u w:val="none"/>
        </w:rPr>
        <w:t>8.7. A Contratada deve cumprir todas as obrigações constantes neste TR, seus anexos.</w:t>
      </w:r>
    </w:p>
    <w:p>
      <w:pPr>
        <w:pStyle w:val="Corpodotexto"/>
        <w:spacing w:lineRule="auto" w:line="240" w:before="1" w:after="0"/>
        <w:jc w:val="both"/>
        <w:rPr>
          <w:rFonts w:ascii="Verdana" w:hAnsi="Verdana"/>
          <w:sz w:val="20"/>
          <w:szCs w:val="20"/>
        </w:rPr>
      </w:pPr>
      <w:r>
        <w:rPr>
          <w:rFonts w:ascii="Verdana" w:hAnsi="Verdana"/>
          <w:b w:val="false"/>
          <w:bCs w:val="false"/>
          <w:sz w:val="20"/>
          <w:szCs w:val="20"/>
        </w:rPr>
        <w:t>8.8. Todo o local de montagem deverá ser sinalizado de acordo com as normas de segurança.</w:t>
      </w:r>
    </w:p>
    <w:p>
      <w:pPr>
        <w:pStyle w:val="Corpodotexto"/>
        <w:tabs>
          <w:tab w:val="clear" w:pos="708"/>
          <w:tab w:val="left" w:pos="0" w:leader="none"/>
        </w:tabs>
        <w:spacing w:lineRule="auto" w:line="240" w:before="1" w:after="0"/>
        <w:ind w:left="0" w:right="0" w:hanging="0"/>
        <w:jc w:val="both"/>
        <w:rPr>
          <w:rFonts w:ascii="Verdana" w:hAnsi="Verdana"/>
          <w:sz w:val="20"/>
          <w:szCs w:val="20"/>
        </w:rPr>
      </w:pPr>
      <w:r>
        <w:rPr>
          <w:rFonts w:cs="Arial" w:ascii="Verdana" w:hAnsi="Verdana"/>
          <w:b w:val="false"/>
          <w:bCs w:val="false"/>
          <w:i w:val="false"/>
          <w:iCs w:val="false"/>
          <w:color w:val="000000"/>
          <w:sz w:val="20"/>
          <w:szCs w:val="20"/>
          <w:u w:val="none"/>
        </w:rPr>
        <w:t>8.9</w:t>
      </w:r>
      <w:r>
        <w:rPr>
          <w:rFonts w:cs="Arial" w:ascii="Verdana" w:hAnsi="Verdana"/>
          <w:b/>
          <w:bCs/>
          <w:i w:val="false"/>
          <w:iCs w:val="false"/>
          <w:color w:val="000000"/>
          <w:sz w:val="20"/>
          <w:szCs w:val="20"/>
          <w:u w:val="none"/>
        </w:rPr>
        <w:t>.</w:t>
      </w:r>
      <w:r>
        <w:rPr>
          <w:rFonts w:cs="Arial" w:ascii="Verdana" w:hAnsi="Verdana"/>
          <w:b w:val="false"/>
          <w:bCs w:val="false"/>
          <w:i w:val="false"/>
          <w:iCs w:val="false"/>
          <w:color w:val="000000"/>
          <w:sz w:val="20"/>
          <w:szCs w:val="20"/>
          <w:u w:val="none"/>
        </w:rPr>
        <w:t xml:space="preserve"> A CONTRATADA deverá ter responsáveis técnicos qualificados pelos equipamentos no local do evento, durante todo o período da realização do mesmo, assim como promover às suas custas, além do controle tecnológico dos materiais a serem empregados nos serviços, a segurança necessária à perfeita, no tocante aos objetos, materiais e equipamentos instalados no local do evento.</w:t>
      </w:r>
    </w:p>
    <w:p>
      <w:pPr>
        <w:pStyle w:val="Corpodotexto"/>
        <w:tabs>
          <w:tab w:val="clear" w:pos="708"/>
          <w:tab w:val="left" w:pos="0" w:leader="none"/>
        </w:tabs>
        <w:spacing w:lineRule="auto" w:line="240" w:before="0" w:after="0"/>
        <w:ind w:left="0" w:right="0" w:hanging="0"/>
        <w:jc w:val="both"/>
        <w:rPr>
          <w:rFonts w:ascii="Verdana" w:hAnsi="Verdana"/>
          <w:sz w:val="20"/>
          <w:szCs w:val="20"/>
        </w:rPr>
      </w:pPr>
      <w:r>
        <w:rPr>
          <w:rFonts w:ascii="Verdana" w:hAnsi="Verdana"/>
          <w:sz w:val="20"/>
          <w:szCs w:val="20"/>
        </w:rPr>
      </w:r>
    </w:p>
    <w:p>
      <w:pPr>
        <w:pStyle w:val="Normal"/>
        <w:tabs>
          <w:tab w:val="clear" w:pos="708"/>
          <w:tab w:val="left" w:pos="0" w:leader="none"/>
        </w:tabs>
        <w:spacing w:lineRule="auto" w:line="240" w:before="57" w:after="57"/>
        <w:ind w:left="0" w:right="0" w:hanging="0"/>
        <w:jc w:val="left"/>
        <w:rPr>
          <w:rFonts w:ascii="Verdana" w:hAnsi="Verdana"/>
          <w:sz w:val="20"/>
          <w:szCs w:val="20"/>
        </w:rPr>
      </w:pPr>
      <w:r>
        <w:rPr>
          <w:rFonts w:cs="Arial" w:ascii="Verdana" w:hAnsi="Verdana"/>
          <w:b/>
          <w:bCs/>
          <w:sz w:val="20"/>
          <w:szCs w:val="20"/>
          <w:u w:val="none"/>
        </w:rPr>
        <w:t>9. RESULTADOS PRETENDIDOS</w:t>
      </w:r>
    </w:p>
    <w:p>
      <w:pPr>
        <w:pStyle w:val="Normal"/>
        <w:spacing w:lineRule="auto" w:line="240"/>
        <w:jc w:val="both"/>
        <w:rPr>
          <w:rFonts w:ascii="Verdana" w:hAnsi="Verdana"/>
          <w:sz w:val="20"/>
          <w:szCs w:val="20"/>
        </w:rPr>
      </w:pPr>
      <w:r>
        <w:rPr>
          <w:rFonts w:cs="Arial" w:ascii="Verdana" w:hAnsi="Verdana"/>
          <w:b w:val="false"/>
          <w:bCs w:val="false"/>
          <w:sz w:val="20"/>
          <w:szCs w:val="20"/>
          <w:u w:val="none"/>
        </w:rPr>
        <w:t>9.1. Com a aquisição pretendida, buscaremos suprir as necessidades da Secretaria Municipal de Educação e atender de forma mais adequada todos os estudantes da Rede Municipal e Estadual de Ensino. O quantitativo será suficiente para suprir a demanda desta Secretaria.</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cs="Arial" w:ascii="Verdana" w:hAnsi="Verdana"/>
          <w:b/>
          <w:bCs/>
          <w:sz w:val="20"/>
          <w:szCs w:val="20"/>
        </w:rPr>
        <w:t>10. REGULARIDADE FISCAL E TRABALHISTA</w:t>
      </w:r>
    </w:p>
    <w:p>
      <w:pPr>
        <w:pStyle w:val="Normal"/>
        <w:spacing w:lineRule="auto" w:line="240"/>
        <w:jc w:val="both"/>
        <w:rPr>
          <w:rFonts w:ascii="Verdana" w:hAnsi="Verdana"/>
          <w:sz w:val="20"/>
          <w:szCs w:val="20"/>
        </w:rPr>
      </w:pPr>
      <w:r>
        <w:rPr>
          <w:rFonts w:eastAsia="Times New Roman" w:cs="Arial" w:ascii="Verdana" w:hAnsi="Verdana"/>
          <w:b w:val="false"/>
          <w:bCs w:val="false"/>
          <w:sz w:val="20"/>
          <w:szCs w:val="20"/>
        </w:rPr>
        <w:t xml:space="preserve">10.1. </w:t>
      </w:r>
      <w:r>
        <w:rPr>
          <w:rFonts w:cs="Arial" w:ascii="Verdana" w:hAnsi="Verdana"/>
          <w:b w:val="false"/>
          <w:bCs w:val="false"/>
          <w:sz w:val="20"/>
          <w:szCs w:val="20"/>
        </w:rPr>
        <w:t>Cópia de inscrição no Cadastro de Pessoas</w:t>
      </w:r>
      <w:r>
        <w:rPr>
          <w:rFonts w:cs="Arial" w:ascii="Verdana" w:hAnsi="Verdana"/>
          <w:b w:val="false"/>
          <w:bCs w:val="false"/>
          <w:sz w:val="20"/>
          <w:szCs w:val="20"/>
          <w:u w:val="none"/>
        </w:rPr>
        <w:t xml:space="preserve"> </w:t>
      </w:r>
      <w:r>
        <w:rPr>
          <w:rFonts w:eastAsia="Times New Roman" w:cs="Arial" w:ascii="Verdana" w:hAnsi="Verdana"/>
          <w:b w:val="false"/>
          <w:bCs w:val="false"/>
          <w:color w:val="auto"/>
          <w:kern w:val="0"/>
          <w:sz w:val="20"/>
          <w:szCs w:val="20"/>
          <w:u w:val="none"/>
          <w:lang w:val="pt-BR" w:eastAsia="pt-BR" w:bidi="ar-SA"/>
        </w:rPr>
        <w:t>Jurídicas – CNPJ.</w:t>
      </w:r>
    </w:p>
    <w:p>
      <w:pPr>
        <w:pStyle w:val="Normal"/>
        <w:spacing w:lineRule="auto" w:line="240"/>
        <w:jc w:val="both"/>
        <w:rPr>
          <w:rFonts w:ascii="Verdana" w:hAnsi="Verdana"/>
          <w:sz w:val="20"/>
          <w:szCs w:val="20"/>
        </w:rPr>
      </w:pPr>
      <w:r>
        <w:rPr>
          <w:rFonts w:eastAsia="Times New Roman" w:cs="Arial" w:ascii="Verdana" w:hAnsi="Verdana"/>
          <w:b w:val="false"/>
          <w:bCs w:val="false"/>
          <w:sz w:val="20"/>
          <w:szCs w:val="20"/>
        </w:rPr>
        <w:t xml:space="preserve">10.2. </w:t>
      </w:r>
      <w:r>
        <w:rPr>
          <w:rFonts w:cs="Arial" w:ascii="Verdana" w:hAnsi="Verdana"/>
          <w:b w:val="false"/>
          <w:bCs w:val="false"/>
          <w:sz w:val="20"/>
          <w:szCs w:val="20"/>
        </w:rPr>
        <w:t xml:space="preserve">Prova de regularidade com a Fazenda Pública Federal, referente à Certidão de Débitos relativos a Créditos Tributários Federais e à Dívida Ativa da União, que poderá ser solicitada no site http://receita.economia.gov.br; </w:t>
      </w:r>
    </w:p>
    <w:p>
      <w:pPr>
        <w:pStyle w:val="Normal"/>
        <w:spacing w:lineRule="auto" w:line="240"/>
        <w:jc w:val="both"/>
        <w:rPr/>
      </w:pPr>
      <w:r>
        <w:rPr>
          <w:rFonts w:eastAsia="Times New Roman" w:cs="Arial" w:ascii="Verdana" w:hAnsi="Verdana"/>
          <w:b w:val="false"/>
          <w:bCs w:val="false"/>
          <w:sz w:val="20"/>
          <w:szCs w:val="20"/>
        </w:rPr>
        <w:t>10.3.</w:t>
      </w:r>
      <w:r>
        <w:rPr>
          <w:rFonts w:cs="Arial" w:ascii="Verdana" w:hAnsi="Verdana"/>
          <w:b w:val="false"/>
          <w:bCs w:val="false"/>
          <w:sz w:val="20"/>
          <w:szCs w:val="20"/>
        </w:rPr>
        <w:t xml:space="preserve">Prova de regularidade com a Fazenda Estadual, que poderá ser solicitada no site </w:t>
      </w:r>
      <w:hyperlink r:id="rId2">
        <w:r>
          <w:rPr>
            <w:rFonts w:cs="Arial" w:ascii="Verdana" w:hAnsi="Verdana"/>
            <w:b w:val="false"/>
            <w:bCs w:val="false"/>
            <w:color w:val="000080"/>
            <w:sz w:val="20"/>
            <w:szCs w:val="20"/>
            <w:u w:val="single"/>
          </w:rPr>
          <w:t>https://internet.sefaz.es.gov.br</w:t>
        </w:r>
      </w:hyperlink>
      <w:r>
        <w:rPr>
          <w:rFonts w:cs="Arial" w:ascii="Verdana" w:hAnsi="Verdana"/>
          <w:b w:val="false"/>
          <w:bCs w:val="false"/>
          <w:sz w:val="20"/>
          <w:szCs w:val="20"/>
        </w:rPr>
        <w:t>;</w:t>
      </w:r>
    </w:p>
    <w:p>
      <w:pPr>
        <w:pStyle w:val="Normal"/>
        <w:spacing w:lineRule="auto" w:line="240"/>
        <w:jc w:val="both"/>
        <w:rPr>
          <w:rFonts w:ascii="Verdana" w:hAnsi="Verdana"/>
          <w:sz w:val="20"/>
          <w:szCs w:val="20"/>
        </w:rPr>
      </w:pPr>
      <w:r>
        <w:rPr>
          <w:rFonts w:eastAsia="Times New Roman" w:cs="Arial" w:ascii="Verdana" w:hAnsi="Verdana"/>
          <w:b w:val="false"/>
          <w:bCs w:val="false"/>
          <w:sz w:val="20"/>
          <w:szCs w:val="20"/>
        </w:rPr>
        <w:t xml:space="preserve">10.4. </w:t>
      </w:r>
      <w:r>
        <w:rPr>
          <w:rFonts w:cs="Arial" w:ascii="Verdana" w:hAnsi="Verdana"/>
          <w:b w:val="false"/>
          <w:bCs w:val="false"/>
          <w:sz w:val="20"/>
          <w:szCs w:val="20"/>
        </w:rPr>
        <w:t xml:space="preserve"> Prova de regularidade com a Fazenda Pública Municipal referente ao domicílio do interessado;</w:t>
      </w:r>
    </w:p>
    <w:p>
      <w:pPr>
        <w:pStyle w:val="Normal"/>
        <w:spacing w:lineRule="auto" w:line="240"/>
        <w:jc w:val="both"/>
        <w:rPr/>
      </w:pPr>
      <w:r>
        <w:rPr>
          <w:rFonts w:eastAsia="Times New Roman" w:cs="Arial" w:ascii="Verdana" w:hAnsi="Verdana"/>
          <w:b w:val="false"/>
          <w:bCs w:val="false"/>
          <w:sz w:val="20"/>
          <w:szCs w:val="20"/>
        </w:rPr>
        <w:t xml:space="preserve">10.5. </w:t>
      </w:r>
      <w:r>
        <w:rPr>
          <w:rFonts w:cs="Arial" w:ascii="Verdana" w:hAnsi="Verdana"/>
          <w:b w:val="false"/>
          <w:bCs w:val="false"/>
          <w:sz w:val="20"/>
          <w:szCs w:val="20"/>
        </w:rPr>
        <w:t>Prova de inexistência de débitos inadimplidos perante a Justiça do Trabalho, mediante a apresentação de certidão negativa, nos termos do Título VII-A da Con</w:t>
      </w:r>
      <w:r>
        <w:rPr>
          <w:rFonts w:cs="Arial" w:ascii="Verdana" w:hAnsi="Verdana"/>
          <w:sz w:val="20"/>
          <w:szCs w:val="20"/>
        </w:rPr>
        <w:t xml:space="preserve">solidação das Leis do Trabalho, aprovada pelo Decreto-Lei n.º 5.452, de 1º de maio de 1943, que poderá ser retirada no site </w:t>
      </w:r>
      <w:hyperlink r:id="rId3">
        <w:r>
          <w:rPr>
            <w:rStyle w:val="LinkdaInternet"/>
            <w:rFonts w:cs="Arial" w:ascii="Verdana" w:hAnsi="Verdana"/>
            <w:sz w:val="20"/>
            <w:szCs w:val="20"/>
          </w:rPr>
          <w:t>http://www.tst.jus.br</w:t>
        </w:r>
      </w:hyperlink>
      <w:r>
        <w:rPr>
          <w:rFonts w:cs="Arial" w:ascii="Verdana" w:hAnsi="Verdana"/>
          <w:sz w:val="20"/>
          <w:szCs w:val="20"/>
        </w:rPr>
        <w:t>.</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sz w:val="20"/>
          <w:szCs w:val="20"/>
        </w:rPr>
        <w:t>11. DAS SANÇÕES ADMINISTRATIVAS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 Comete infração administrativa o fornecedor/prestador de serviço que cometer quaisquer das infrações previstas no art. 155 da Lei nº 14.133, de 2021, quais sejam:</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 Dar causa à inexecução parcial do contrato.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.1.2. Dar causa à inexecução parcial que cause grave dano à Administração, ao funcionamento dos serviços públicos ou ao interesse coletivo.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.1.3. Dar causa à inexecução total;</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.1.4. Deixar de entregar a documentação exigida para o certame.</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.1.5. Não manter a proposta, salvo em decorrência de fato superveniente devidamente justificado.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.1.6. Não celebrar o contrato ou não entregar a documentação exigida para a contratação, quando convocado dentro do prazo de validade de sua proposta. </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.1.7. Ensejar o retardamento da execução ou da entrega do objeto sem motivo justificado,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.1.8. Apresentar declaração ou documentação falsa exigida para o certame ou prestar declaração falsa durante o procedimento ou a execução do objeto.</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11.1.9. Fraudar o procedimento ou praticar ato fraudulento na execução do objeto.</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 Comportar-se de modo inidôneo ou cometer fraude de qualquer natureza.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.1.10.1. Considera-se comportamento inidôneo, entre outros, a declaração falsa quanto às condições de participação, quanto ao enquadramento como ME/EPP ou o conluio entre os fornecedores, em qualquer momento do procedimento, mesmo após o encerramento da fase de lances.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.1.11. Praticar atos ilícitos com vistas a frustrar os objetivos deste certame.</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.1.12. Praticar ato lesivo previsto no art. 5º da Lei nº 12.846, de 1º de agosto de 2013.</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11.1.13.</w:t>
      </w:r>
      <w:r>
        <w:rPr>
          <w:rFonts w:ascii="Verdana" w:hAnsi="Verdana"/>
          <w:b w:val="false"/>
          <w:bCs w:val="false"/>
          <w:iCs/>
          <w:sz w:val="20"/>
          <w:szCs w:val="20"/>
        </w:rPr>
        <w:t xml:space="preserve"> O fornecedor que cometer qualquer das infrações discriminadas nos subitens anteriores ficará sujeito, sem prejuízo da responsabilidade civil e criminal, às seguintes sanções:</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a) Advertência pela falta do subitem 11.1.1 deste Termo de Referência, quando não se justificar a imposição de penalidade mais grave.</w:t>
      </w:r>
    </w:p>
    <w:p>
      <w:pPr>
        <w:pStyle w:val="Normal"/>
        <w:spacing w:lineRule="auto" w:line="240"/>
        <w:ind w:left="-57" w:right="0" w:hanging="0"/>
        <w:jc w:val="both"/>
        <w:rPr>
          <w:rFonts w:ascii="Verdana" w:hAnsi="Verdana"/>
          <w:sz w:val="20"/>
          <w:szCs w:val="20"/>
        </w:rPr>
      </w:pPr>
      <w:r>
        <w:rPr>
          <w:rFonts w:ascii="Verdana" w:hAnsi="Verdana"/>
          <w:b w:val="false"/>
          <w:bCs w:val="false"/>
          <w:iCs/>
          <w:sz w:val="20"/>
          <w:szCs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w:t>
      </w: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 xml:space="preserve">.1.7 e 20% (vinte por cento), se cometidas infrações previstas nos itens 11.1.8 a 11.1.12; </w:t>
      </w:r>
    </w:p>
    <w:p>
      <w:pPr>
        <w:pStyle w:val="Normal"/>
        <w:spacing w:lineRule="auto" w:line="240"/>
        <w:ind w:left="-57" w:right="0" w:hanging="0"/>
        <w:jc w:val="both"/>
        <w:rPr>
          <w:rFonts w:ascii="Verdana" w:hAnsi="Verdana"/>
          <w:sz w:val="20"/>
          <w:szCs w:val="20"/>
        </w:rPr>
      </w:pPr>
      <w:r>
        <w:rPr>
          <w:rFonts w:ascii="Verdana" w:hAnsi="Verdana"/>
          <w:b w:val="false"/>
          <w:bCs w:val="false"/>
          <w:iCs/>
          <w:sz w:val="20"/>
          <w:szCs w:val="20"/>
        </w:rPr>
        <w:t>b.1) O valor da multa poderá ser descontado das faturas devidas à CONTRATADA;</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b.2) A multa pode ser aplicada isoladamente ou juntamente com as penali</w:t>
      </w:r>
      <w:r>
        <w:rPr>
          <w:rFonts w:ascii="Verdana" w:hAnsi="Verdana"/>
          <w:iCs/>
          <w:sz w:val="20"/>
          <w:szCs w:val="20"/>
        </w:rPr>
        <w:t xml:space="preserve">dades definidas nos itens “c” e “d” abaixo: </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c) Impedimento de licitar e contratar no âmbito da Administração Pública direta e indireta do ente federativo que tiver aplicado a sanção, pelo prazo máximo de 03 (três) anos, nos casos dos subitens </w:t>
      </w:r>
      <w:r>
        <w:rPr>
          <w:rFonts w:eastAsia="Times New Roman" w:cs="Times New Roman" w:ascii="Verdana" w:hAnsi="Verdana"/>
          <w:iCs/>
          <w:color w:val="auto"/>
          <w:kern w:val="0"/>
          <w:sz w:val="20"/>
          <w:szCs w:val="20"/>
          <w:lang w:val="pt-BR" w:eastAsia="pt-BR" w:bidi="ar-SA"/>
        </w:rPr>
        <w:t>11</w:t>
      </w:r>
      <w:r>
        <w:rPr>
          <w:rFonts w:ascii="Verdana" w:hAnsi="Verdana"/>
          <w:iCs/>
          <w:sz w:val="20"/>
          <w:szCs w:val="20"/>
        </w:rPr>
        <w:t>.1.2 a 8.1.7 deste Termo de Referência, quando não se justificar a imposição de penalidade mais grave.</w:t>
      </w:r>
    </w:p>
    <w:p>
      <w:pPr>
        <w:pStyle w:val="Normal"/>
        <w:spacing w:lineRule="auto" w:line="240"/>
        <w:ind w:left="0" w:right="0" w:hanging="0"/>
        <w:jc w:val="both"/>
        <w:rPr>
          <w:rFonts w:ascii="Verdana" w:hAnsi="Verdana"/>
          <w:sz w:val="20"/>
          <w:szCs w:val="20"/>
        </w:rPr>
      </w:pPr>
      <w:r>
        <w:rPr>
          <w:rFonts w:ascii="Verdana" w:hAnsi="Verdana"/>
          <w:iCs/>
          <w:sz w:val="20"/>
          <w:szCs w:val="20"/>
        </w:rPr>
        <w:t xml:space="preserve"> </w:t>
      </w:r>
      <w:r>
        <w:rPr>
          <w:rFonts w:ascii="Verdana" w:hAnsi="Verdana"/>
          <w:iCs/>
          <w:sz w:val="20"/>
          <w:szCs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 Na aplicação das sanções serão considerados:</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.3.1. A natureza e a gravidade da infração cometida.</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11.3.2. As peculiaridades do caso concreto.</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11.3.3. As circunstâncias agravantes ou atenuantes.</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11.3.4. Os danos que dela provierem para a Administração Pública.</w:t>
      </w:r>
    </w:p>
    <w:p>
      <w:pPr>
        <w:pStyle w:val="Normal"/>
        <w:spacing w:lineRule="auto" w:line="240"/>
        <w:ind w:left="0" w:right="0" w:hanging="0"/>
        <w:jc w:val="both"/>
        <w:rPr>
          <w:rFonts w:ascii="Verdana" w:hAnsi="Verdana"/>
          <w:sz w:val="20"/>
          <w:szCs w:val="20"/>
        </w:rPr>
      </w:pPr>
      <w:r>
        <w:rPr>
          <w:rFonts w:eastAsia="Times New Roman" w:cs="Times New Roman" w:ascii="Verdana" w:hAnsi="Verdana"/>
          <w:b w:val="false"/>
          <w:bCs w:val="false"/>
          <w:iCs/>
          <w:color w:val="000000"/>
          <w:sz w:val="20"/>
          <w:szCs w:val="20"/>
        </w:rPr>
        <w:t>11</w:t>
      </w:r>
      <w:r>
        <w:rPr>
          <w:rFonts w:ascii="Verdana" w:hAnsi="Verdana"/>
          <w:b w:val="false"/>
          <w:bCs w:val="false"/>
          <w:iCs/>
          <w:sz w:val="20"/>
          <w:szCs w:val="20"/>
        </w:rPr>
        <w:t>.3.5. A implantação ou o aperfeiçoamento de programa de integridade, conforme normas e orientações dos órgãos de controle.</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pPr>
        <w:pStyle w:val="Normal"/>
        <w:spacing w:lineRule="auto" w:line="240"/>
        <w:ind w:left="0" w:right="0" w:hanging="0"/>
        <w:jc w:val="both"/>
        <w:rPr>
          <w:rFonts w:ascii="Verdana" w:hAnsi="Verdana"/>
          <w:sz w:val="20"/>
          <w:szCs w:val="20"/>
        </w:rPr>
      </w:pPr>
      <w:r>
        <w:rPr>
          <w:rFonts w:ascii="Verdana" w:hAnsi="Verdana"/>
          <w:b w:val="false"/>
          <w:bCs w:val="false"/>
          <w:iCs/>
          <w:sz w:val="20"/>
          <w:szCs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w:t>
      </w:r>
      <w:r>
        <w:rPr>
          <w:rFonts w:ascii="Verdana" w:hAnsi="Verdana"/>
          <w:iCs/>
          <w:sz w:val="20"/>
          <w:szCs w:val="20"/>
          <w:lang w:eastAsia="en-US"/>
        </w:rPr>
        <w:t>a Lei 14.133/2021 – Das Infrações e Sanções Administrativas.</w:t>
      </w:r>
    </w:p>
    <w:p>
      <w:pPr>
        <w:pStyle w:val="Normal"/>
        <w:spacing w:lineRule="auto" w:line="240"/>
        <w:ind w:left="0" w:right="0" w:hanging="0"/>
        <w:jc w:val="both"/>
        <w:rPr>
          <w:rFonts w:ascii="Verdana" w:hAnsi="Verdana"/>
          <w:sz w:val="20"/>
          <w:szCs w:val="20"/>
        </w:rPr>
      </w:pPr>
      <w:r>
        <w:rPr>
          <w:rFonts w:ascii="Verdana" w:hAnsi="Verdana"/>
          <w:sz w:val="20"/>
          <w:szCs w:val="20"/>
        </w:rPr>
      </w:r>
    </w:p>
    <w:p>
      <w:pPr>
        <w:pStyle w:val="Normal"/>
        <w:spacing w:lineRule="auto" w:line="240"/>
        <w:ind w:left="-79" w:right="0" w:hanging="0"/>
        <w:jc w:val="both"/>
        <w:rPr>
          <w:rFonts w:ascii="Verdana" w:hAnsi="Verdana"/>
          <w:sz w:val="20"/>
          <w:szCs w:val="20"/>
        </w:rPr>
      </w:pPr>
      <w:r>
        <w:rPr>
          <w:rFonts w:ascii="Verdana" w:hAnsi="Verdana"/>
          <w:b/>
          <w:bCs/>
          <w:sz w:val="20"/>
          <w:szCs w:val="20"/>
          <w:lang w:eastAsia="en-US"/>
        </w:rPr>
        <w:t>12. DA HABILITAÇÃO</w:t>
      </w:r>
      <w:r>
        <w:rPr>
          <w:rFonts w:ascii="Verdana" w:hAnsi="Verdana"/>
          <w:sz w:val="20"/>
          <w:szCs w:val="20"/>
          <w:lang w:eastAsia="en-US"/>
        </w:rPr>
        <w:t xml:space="preserve">  </w:t>
      </w:r>
    </w:p>
    <w:p>
      <w:pPr>
        <w:pStyle w:val="Normal"/>
        <w:spacing w:lineRule="auto" w:line="240"/>
        <w:ind w:left="-79" w:right="0" w:hanging="0"/>
        <w:jc w:val="both"/>
        <w:rPr>
          <w:rFonts w:ascii="Verdana" w:hAnsi="Verdana"/>
          <w:sz w:val="20"/>
          <w:szCs w:val="20"/>
        </w:rPr>
      </w:pPr>
      <w:r>
        <w:rPr>
          <w:rFonts w:cs="Verdana" w:ascii="Verdana" w:hAnsi="Verdana"/>
          <w:b w:val="false"/>
          <w:bCs w:val="false"/>
          <w:sz w:val="20"/>
          <w:szCs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a) SICAF;</w:t>
      </w:r>
    </w:p>
    <w:p>
      <w:pPr>
        <w:pStyle w:val="ListParagraph"/>
        <w:spacing w:lineRule="auto" w:line="240" w:before="57" w:after="57"/>
        <w:ind w:left="0" w:right="0" w:hanging="0"/>
        <w:contextualSpacing/>
        <w:jc w:val="both"/>
        <w:rPr/>
      </w:pPr>
      <w:r>
        <w:rPr>
          <w:rFonts w:cs="Verdana" w:ascii="Verdana" w:hAnsi="Verdana"/>
          <w:b w:val="false"/>
          <w:bCs w:val="false"/>
          <w:sz w:val="20"/>
          <w:szCs w:val="20"/>
          <w:lang w:eastAsia="ar-SA"/>
        </w:rPr>
        <w:t>b) Cadastro Nacional de Empresas Inidôneas e Suspensas – CEIS, mantido pela Controladoria-Geral da União (</w:t>
      </w:r>
      <w:hyperlink r:id="rId4">
        <w:r>
          <w:rPr>
            <w:rFonts w:cs="Verdana" w:ascii="Verdana" w:hAnsi="Verdana"/>
            <w:b w:val="false"/>
            <w:bCs w:val="false"/>
            <w:color w:val="000080"/>
            <w:sz w:val="20"/>
            <w:szCs w:val="20"/>
            <w:u w:val="single"/>
            <w:lang w:eastAsia="ar-SA"/>
          </w:rPr>
          <w:t>www.portaldatransparencia.gov.br/ceis</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jc w:val="both"/>
        <w:rPr/>
      </w:pPr>
      <w:r>
        <w:rPr>
          <w:rFonts w:cs="Verdana" w:ascii="Verdana" w:hAnsi="Verdana"/>
          <w:b w:val="false"/>
          <w:bCs w:val="false"/>
          <w:sz w:val="20"/>
          <w:szCs w:val="20"/>
          <w:lang w:eastAsia="ar-SA"/>
        </w:rPr>
        <w:t>c) Cadastro Nacional de Condenações Cíveis por Atos de Improbidade Administrativa, mantido pelo Conselho Nacional de Justiça (</w:t>
      </w:r>
      <w:hyperlink r:id="rId5">
        <w:r>
          <w:rPr>
            <w:rFonts w:cs="Verdana" w:ascii="Verdana" w:hAnsi="Verdana"/>
            <w:b w:val="false"/>
            <w:bCs w:val="false"/>
            <w:color w:val="000080"/>
            <w:sz w:val="20"/>
            <w:szCs w:val="20"/>
            <w:u w:val="single"/>
            <w:lang w:eastAsia="ar-SA"/>
          </w:rPr>
          <w:t>www.cnj.jus.br/improbidade_adm/consultar_requerido.php</w:t>
        </w:r>
      </w:hyperlink>
      <w:r>
        <w:rPr>
          <w:rFonts w:cs="Verdana" w:ascii="Verdana" w:hAnsi="Verdana"/>
          <w:b w:val="false"/>
          <w:bCs w:val="false"/>
          <w:sz w:val="20"/>
          <w:szCs w:val="20"/>
          <w:lang w:eastAsia="ar-SA"/>
        </w:rPr>
        <w:t>).</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d) Cadastro de Inidôneos e o Cadastro Integrado de Condenações por Ilícitos Administrativos – CADICON, mantidos pelo Tribunal de Contas da União – TCU;</w:t>
      </w:r>
    </w:p>
    <w:p>
      <w:pPr>
        <w:pStyle w:val="Normal"/>
        <w:spacing w:lineRule="auto" w:line="240" w:before="57" w:after="57"/>
        <w:jc w:val="both"/>
        <w:rPr/>
      </w:pPr>
      <w:r>
        <w:rPr>
          <w:rFonts w:cs="Verdana" w:ascii="Verdana" w:hAnsi="Verdana"/>
          <w:b w:val="false"/>
          <w:bCs w:val="false"/>
          <w:sz w:val="20"/>
          <w:szCs w:val="20"/>
          <w:lang w:eastAsia="ar-SA"/>
        </w:rPr>
        <w:t>e) Cadastro de empresas inid</w:t>
      </w:r>
      <w:r>
        <w:rPr>
          <w:rFonts w:cs="Verdana" w:ascii="Verdana" w:hAnsi="Verdana"/>
          <w:b w:val="false"/>
          <w:bCs w:val="false"/>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Fonts w:cs="Verdana" w:ascii="Verdana" w:hAnsi="Verdana"/>
            <w:b w:val="false"/>
            <w:bCs w:val="false"/>
            <w:color w:val="000080"/>
            <w:sz w:val="20"/>
            <w:szCs w:val="20"/>
            <w:u w:val="single"/>
          </w:rPr>
          <w:t>https://www.tcees.tc.br/portal-da-transparencia/consultas/lista-de</w:t>
        </w:r>
      </w:hyperlink>
      <w:r>
        <w:rPr>
          <w:rFonts w:cs="Verdana" w:ascii="Verdana" w:hAnsi="Verdana"/>
          <w:b w:val="false"/>
          <w:bCs w:val="false"/>
          <w:sz w:val="20"/>
          <w:szCs w:val="20"/>
        </w:rPr>
        <w:t xml:space="preserve"> responsáveis/proibidos-de-contratar/).</w:t>
      </w:r>
    </w:p>
    <w:p>
      <w:pPr>
        <w:pStyle w:val="Normal"/>
        <w:spacing w:lineRule="auto" w:line="240" w:before="57" w:after="57"/>
        <w:jc w:val="both"/>
        <w:rPr/>
      </w:pPr>
      <w:r>
        <w:rPr>
          <w:rFonts w:cs="Verdana" w:ascii="Verdana" w:hAnsi="Verdana"/>
          <w:b w:val="false"/>
          <w:bCs w:val="false"/>
          <w:sz w:val="20"/>
          <w:szCs w:val="20"/>
          <w:lang w:eastAsia="ar-SA"/>
        </w:rPr>
        <w:t>12.1.1. Para a consulta de licitantes pessoa jurídica poderá haver a substituição das consultas das alíneas “b”, “c” e “d” acima pela Consulta Consolidada de Pessoa Jurídica do TCU (</w:t>
      </w:r>
      <w:hyperlink r:id="rId7">
        <w:r>
          <w:rPr>
            <w:rFonts w:cs="Verdana" w:ascii="Verdana" w:hAnsi="Verdana"/>
            <w:b w:val="false"/>
            <w:bCs w:val="false"/>
            <w:color w:val="000080"/>
            <w:sz w:val="20"/>
            <w:szCs w:val="20"/>
            <w:u w:val="single"/>
            <w:lang w:eastAsia="ar-SA"/>
          </w:rPr>
          <w:t>https://certidoesapf.apps.tcu.gov.br/</w:t>
        </w:r>
      </w:hyperlink>
      <w:r>
        <w:rPr>
          <w:rFonts w:cs="Verdana" w:ascii="Verdana" w:hAnsi="Verdana"/>
          <w:b w:val="false"/>
          <w:bCs w:val="false"/>
          <w:sz w:val="20"/>
          <w:szCs w:val="20"/>
          <w:lang w:eastAsia="ar-SA"/>
        </w:rPr>
        <w:t>);</w:t>
      </w:r>
    </w:p>
    <w:p>
      <w:pPr>
        <w:pStyle w:val="Normal"/>
        <w:spacing w:lineRule="auto" w:line="240" w:before="57" w:after="57"/>
        <w:jc w:val="both"/>
        <w:rPr>
          <w:rFonts w:ascii="Verdana" w:hAnsi="Verdana"/>
          <w:sz w:val="20"/>
          <w:szCs w:val="20"/>
        </w:rPr>
      </w:pPr>
      <w:r>
        <w:rPr>
          <w:rFonts w:cs="Verdana" w:ascii="Verdana" w:hAnsi="Verdana"/>
          <w:b w:val="false"/>
          <w:bCs w:val="false"/>
          <w:color w:val="000000"/>
          <w:sz w:val="20"/>
          <w:szCs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12.1.2.3. O licitante será convocado para manifestação previamente à sua desclassificação.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12.1.3 .Constatada a existência de sanção, o Pregoeiro reputará o licitante inabilitado, por falta de condição de participação.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tabs>
          <w:tab w:val="clear" w:pos="708"/>
          <w:tab w:val="left" w:pos="567" w:leader="none"/>
        </w:tabs>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 xml:space="preserve">12.2 </w:t>
      </w:r>
      <w:r>
        <w:rPr>
          <w:rFonts w:cs="Verdana" w:ascii="Verdana" w:hAnsi="Verdana"/>
          <w:color w:val="000000"/>
          <w:sz w:val="20"/>
          <w:szCs w:val="20"/>
        </w:rPr>
        <w:t xml:space="preserve">Caso atendidas as condições de participação, </w:t>
      </w:r>
      <w:r>
        <w:rPr>
          <w:rFonts w:cs="Verdana" w:ascii="Verdana" w:hAnsi="Verdana"/>
          <w:sz w:val="20"/>
          <w:szCs w:val="20"/>
        </w:rPr>
        <w:t>a habilitação dos licitantes será verificada por meio do SICAF, nos documentos por ele abrangidos</w:t>
      </w:r>
      <w:r>
        <w:rPr>
          <w:rFonts w:cs="Verdana"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w:t>
      </w:r>
      <w:r>
        <w:rPr>
          <w:rFonts w:cs="Verdana" w:ascii="Verdana" w:hAnsi="Verdana"/>
          <w:b w:val="false"/>
          <w:bCs w:val="false"/>
          <w:sz w:val="20"/>
          <w:szCs w:val="20"/>
          <w:lang w:eastAsia="ar-SA"/>
        </w:rPr>
        <w:t>nº 03, de 2018, alterada pela Instrução Normativa SEGES/MP nº 10 de 2020.</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rPr>
        <w:t>12.4 Somente haverá a necessidade de comprovação do preenchimento de requisitos mediante apresentação dos documentos originais não-digitais quando houver dúvida em relação à integridade do documento digital.</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rPr>
        <w:t>12.5 Não serão aceitos documentos de habilitação com indicação de CNPJ/CPF diferentes, salvo aqueles legalmente permitidos.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sz w:val="20"/>
          <w:szCs w:val="20"/>
        </w:rPr>
        <w:t>12.6 Serão aceitos registros de CNPJ de licitante matriz e filial com diferenças de números de documentos pertinentes ao CND e ao CRF/FGTS, quando for comprovada a centralização do recolhimento dessas contribuições.</w:t>
      </w:r>
    </w:p>
    <w:p>
      <w:pPr>
        <w:pStyle w:val="PADRO"/>
        <w:widowControl/>
        <w:shd w:val="clear" w:fill="FFFFFF"/>
        <w:tabs>
          <w:tab w:val="clear" w:pos="708"/>
          <w:tab w:val="left" w:pos="567" w:leader="none"/>
        </w:tabs>
        <w:spacing w:lineRule="auto" w:line="240" w:before="0" w:after="0"/>
        <w:ind w:left="0" w:right="0" w:hanging="0"/>
        <w:rPr>
          <w:rFonts w:ascii="Verdana" w:hAnsi="Verdana"/>
          <w:sz w:val="20"/>
          <w:szCs w:val="20"/>
        </w:rPr>
      </w:pPr>
      <w:r>
        <w:rPr>
          <w:rFonts w:cs="Verdana" w:ascii="Verdana" w:hAnsi="Verdana"/>
          <w:b w:val="false"/>
          <w:bCs w:val="false"/>
          <w:color w:val="000000"/>
          <w:sz w:val="20"/>
          <w:szCs w:val="20"/>
        </w:rPr>
        <w:t>12.7 Os licitantes deverão encaminhar, nos termos deste Edital, a documentação relacionada nos itens a seguir, para fins de habilitação: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bCs/>
          <w:color w:val="000000"/>
          <w:sz w:val="20"/>
          <w:szCs w:val="20"/>
        </w:rPr>
        <w:t>12.8 Habilitação jurídica: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12.8.1 No caso de empresário individual: inscrição no Registro Público de Empresas Mercantis, a cargo da Junta Comercial da respectiva sede;</w:t>
      </w:r>
    </w:p>
    <w:p>
      <w:pPr>
        <w:pStyle w:val="ListParagraph"/>
        <w:spacing w:lineRule="auto" w:line="240" w:before="57" w:after="57"/>
        <w:ind w:left="0" w:right="0" w:hanging="0"/>
        <w:contextualSpacing/>
        <w:jc w:val="both"/>
        <w:rPr/>
      </w:pPr>
      <w:r>
        <w:rPr>
          <w:rFonts w:cs="Verdana" w:ascii="Verdana" w:hAnsi="Verdana"/>
          <w:b w:val="false"/>
          <w:bCs w:val="false"/>
          <w:color w:val="000000"/>
          <w:sz w:val="20"/>
          <w:szCs w:val="20"/>
        </w:rPr>
        <w:t xml:space="preserve">12.8.2 Em se tratando de microempreendedor individual – MEI: Certificado da Condição de Microempreendedor Individual – CCMEI, cuja aceitação ficará condicionada à verificação da autenticidade no sítio </w:t>
      </w:r>
      <w:hyperlink r:id="rId8">
        <w:r>
          <w:rPr>
            <w:rFonts w:cs="Verdana" w:ascii="Verdana" w:hAnsi="Verdana"/>
            <w:b w:val="false"/>
            <w:bCs w:val="false"/>
            <w:color w:val="000000"/>
            <w:sz w:val="20"/>
            <w:szCs w:val="20"/>
            <w:u w:val="single"/>
          </w:rPr>
          <w:t>www.portaldoempreendedor.gov.br</w:t>
        </w:r>
      </w:hyperlink>
      <w:r>
        <w:rPr>
          <w:rFonts w:cs="Verdana" w:ascii="Verdana" w:hAnsi="Verdana"/>
          <w:b w:val="false"/>
          <w:bCs w:val="false"/>
          <w:color w:val="000000"/>
          <w:sz w:val="20"/>
          <w:szCs w:val="20"/>
        </w:rPr>
        <w:t>;</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12.8.4 Inscrição no Registro Público de Empresas Mercantis onde opera, com averbação no Registro onde tem sede a matriz, no caso de ser o participante sucursal, filial ou agência;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12.8.5 No caso de sociedade simples: inscrição do ato constitutivo no Registro Civil das Pessoas Jurídicas do local de sua sede, acompanhada de prova da indicação dos seus administradores;</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12.8.7 No caso de empresa ou sociedade estrangeira em funcionamento no País: decreto de autorização;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val="false"/>
          <w:bCs w:val="false"/>
          <w:color w:val="000000"/>
          <w:sz w:val="20"/>
          <w:szCs w:val="20"/>
        </w:rPr>
        <w:t xml:space="preserve">12.8.8 </w:t>
      </w:r>
      <w:r>
        <w:rPr>
          <w:rFonts w:cs="Verdana" w:ascii="Verdana" w:hAnsi="Verdana"/>
          <w:bCs/>
          <w:color w:val="000000"/>
          <w:sz w:val="20"/>
          <w:szCs w:val="20"/>
        </w:rPr>
        <w:t>Os documentos acima deverão estar acompanhados de todas as alterações ou da consolidação respectiva;</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bCs/>
          <w:color w:val="000000"/>
          <w:sz w:val="20"/>
          <w:szCs w:val="20"/>
        </w:rPr>
        <w:t xml:space="preserve">12.9  Regularidade fiscal </w:t>
      </w:r>
      <w:r>
        <w:rPr>
          <w:rFonts w:cs="Verdana" w:ascii="Verdana" w:hAnsi="Verdana"/>
          <w:b/>
          <w:bCs/>
          <w:sz w:val="20"/>
          <w:szCs w:val="20"/>
        </w:rPr>
        <w:t>e trabalhista</w:t>
      </w:r>
      <w:r>
        <w:rPr>
          <w:rFonts w:cs="Verdana" w:ascii="Verdana" w:hAnsi="Verdana"/>
          <w:b/>
          <w:bCs/>
          <w:color w:val="0000FF"/>
          <w:sz w:val="20"/>
          <w:szCs w:val="20"/>
        </w:rPr>
        <w:t>:</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12.9.1 Prova de inscrição no Cadastro Nacional de Pessoas Jurídicas ou no Cadastro de Pessoas Físicas, conforme o caso;</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12.9.2 Certidão de regularidade junto à fazenda pública Municipal, do domicílio do Licitante;</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12.9.3 Certidão de regularidade junto à fazenda pública Estadual, do domicílio do Licitante;</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12.9.4 Certidão conjunta de regularidade junto à fazenda pública Federal, (Quitação de tributos e contribuições Federais e Quanto à dívida ativa da União) e junto ao INSS, conforme Portaria MF nº 358 de 05/09/2014;</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rPr>
        <w:t>12.9.5</w:t>
      </w:r>
      <w:r>
        <w:rPr>
          <w:rFonts w:cs="Verdana" w:ascii="Verdana" w:hAnsi="Verdana"/>
          <w:b/>
          <w:bCs/>
          <w:sz w:val="20"/>
          <w:szCs w:val="20"/>
        </w:rPr>
        <w:t xml:space="preserve"> </w:t>
      </w:r>
      <w:r>
        <w:rPr>
          <w:rFonts w:cs="Verdana" w:ascii="Verdana" w:hAnsi="Verdana"/>
          <w:sz w:val="20"/>
          <w:szCs w:val="20"/>
        </w:rPr>
        <w:t>Certidão de regularid</w:t>
      </w:r>
      <w:r>
        <w:rPr>
          <w:rFonts w:cs="Verdana" w:ascii="Verdana" w:hAnsi="Verdana"/>
          <w:b w:val="false"/>
          <w:bCs w:val="false"/>
          <w:sz w:val="20"/>
          <w:szCs w:val="20"/>
        </w:rPr>
        <w:t>ade junto ao FGTS;</w:t>
      </w:r>
    </w:p>
    <w:p>
      <w:pPr>
        <w:pStyle w:val="Normal"/>
        <w:spacing w:lineRule="auto" w:line="240" w:before="57" w:after="57"/>
        <w:jc w:val="both"/>
        <w:rPr>
          <w:rFonts w:ascii="Verdana" w:hAnsi="Verdana"/>
          <w:sz w:val="20"/>
          <w:szCs w:val="20"/>
        </w:rPr>
      </w:pPr>
      <w:r>
        <w:rPr>
          <w:rFonts w:cs="Verdana" w:ascii="Verdana" w:hAnsi="Verdana"/>
          <w:b w:val="false"/>
          <w:bCs w:val="false"/>
          <w:sz w:val="20"/>
          <w:szCs w:val="20"/>
          <w:lang w:eastAsia="en-US"/>
        </w:rPr>
        <w:t>12.9.6 Certidão Negativa De Débitos Trabalhistas (CNDT) de acordo com a Lei 12440 de 7 de julho de 2011.</w:t>
      </w:r>
    </w:p>
    <w:p>
      <w:pPr>
        <w:pStyle w:val="Normal"/>
        <w:spacing w:lineRule="auto" w:line="240" w:before="0" w:after="0"/>
        <w:jc w:val="both"/>
        <w:rPr>
          <w:rFonts w:ascii="Verdana" w:hAnsi="Verdana"/>
          <w:sz w:val="20"/>
          <w:szCs w:val="20"/>
        </w:rPr>
      </w:pPr>
      <w:r>
        <w:rPr>
          <w:rFonts w:cs="Verdana" w:ascii="Verdana" w:hAnsi="Verdana"/>
          <w:b w:val="false"/>
          <w:bCs w:val="false"/>
          <w:color w:val="000000"/>
          <w:sz w:val="20"/>
          <w:szCs w:val="20"/>
          <w:lang w:eastAsia="en-US" w:bidi="pt-BR"/>
        </w:rPr>
        <w:t xml:space="preserve">12.9.7 Caso o vencedor do menor preço seja qualificado como microempresa ou empresa de pequeno porte </w:t>
      </w:r>
      <w:r>
        <w:rPr>
          <w:rFonts w:cs="Verdana" w:ascii="Verdana" w:hAnsi="Verdana"/>
          <w:b w:val="false"/>
          <w:bCs w:val="false"/>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spacing w:lineRule="auto" w:line="240" w:before="57" w:after="57"/>
        <w:ind w:left="0" w:right="0" w:hanging="0"/>
        <w:contextualSpacing/>
        <w:jc w:val="both"/>
        <w:rPr>
          <w:rFonts w:ascii="Verdana" w:hAnsi="Verdana"/>
          <w:sz w:val="20"/>
          <w:szCs w:val="20"/>
        </w:rPr>
      </w:pPr>
      <w:r>
        <w:rPr>
          <w:rFonts w:cs="Verdana" w:ascii="Verdana" w:hAnsi="Verdana"/>
          <w:b/>
          <w:color w:val="000000"/>
          <w:sz w:val="20"/>
          <w:szCs w:val="20"/>
        </w:rPr>
        <w:t>12.10 Qualificação Econômico-Financeira</w:t>
      </w:r>
      <w:r>
        <w:rPr>
          <w:rFonts w:cs="Verdana" w:ascii="Verdana" w:hAnsi="Verdana"/>
          <w:color w:val="000000"/>
          <w:sz w:val="20"/>
          <w:szCs w:val="20"/>
        </w:rPr>
        <w:t>.</w:t>
      </w:r>
    </w:p>
    <w:p>
      <w:pPr>
        <w:pStyle w:val="Normal"/>
        <w:tabs>
          <w:tab w:val="clear" w:pos="708"/>
          <w:tab w:val="left" w:pos="850" w:leader="none"/>
        </w:tabs>
        <w:spacing w:lineRule="auto" w:line="240" w:before="57" w:after="57"/>
        <w:jc w:val="both"/>
        <w:rPr>
          <w:rFonts w:ascii="Verdana" w:hAnsi="Verdana"/>
          <w:sz w:val="20"/>
          <w:szCs w:val="20"/>
        </w:rPr>
      </w:pPr>
      <w:r>
        <w:rPr>
          <w:rFonts w:cs="Verdana" w:ascii="Verdana" w:hAnsi="Verdana"/>
          <w:b w:val="false"/>
          <w:bCs w:val="false"/>
          <w:color w:val="000000"/>
          <w:sz w:val="20"/>
          <w:szCs w:val="20"/>
        </w:rPr>
        <w:t>12.10.1 Certidão negativa de falência, recuperação judicial e extrajudicial, expedida pelo cartório distribuidor da sede da Licitante ou por meio digital, emitida em até 30 (trinta) dias anteriores à data de abertura do procedimento;</w:t>
      </w:r>
    </w:p>
    <w:p>
      <w:pPr>
        <w:pStyle w:val="Normal"/>
        <w:tabs>
          <w:tab w:val="clear" w:pos="708"/>
          <w:tab w:val="left" w:pos="850" w:leader="none"/>
        </w:tabs>
        <w:spacing w:lineRule="auto" w:line="240" w:before="57" w:after="57"/>
        <w:jc w:val="both"/>
        <w:rPr>
          <w:rFonts w:ascii="Verdana" w:hAnsi="Verdana"/>
          <w:sz w:val="20"/>
          <w:szCs w:val="20"/>
        </w:rPr>
      </w:pPr>
      <w:r>
        <w:rPr>
          <w:rFonts w:cs="Verdana" w:ascii="Verdana" w:hAnsi="Verdana"/>
          <w:b w:val="false"/>
          <w:bCs w:val="false"/>
          <w:color w:val="000000"/>
          <w:sz w:val="20"/>
          <w:szCs w:val="20"/>
        </w:rPr>
        <w:t>12.10.2 Havendo algum prazo de validade estabelecido por cartório na certidão citada na letra anterior, será considerado o prazo constante da certidão para comprovação da sua validade.</w:t>
      </w:r>
    </w:p>
    <w:p>
      <w:pPr>
        <w:pStyle w:val="Normal"/>
        <w:tabs>
          <w:tab w:val="clear" w:pos="708"/>
          <w:tab w:val="left" w:pos="850" w:leader="none"/>
        </w:tabs>
        <w:spacing w:lineRule="auto" w:line="240" w:before="57" w:after="57"/>
        <w:ind w:left="-57" w:right="0" w:hanging="0"/>
        <w:jc w:val="both"/>
        <w:rPr>
          <w:rFonts w:ascii="Verdana" w:hAnsi="Verdana"/>
          <w:sz w:val="20"/>
          <w:szCs w:val="20"/>
        </w:rPr>
      </w:pPr>
      <w:r>
        <w:rPr>
          <w:rFonts w:cs="Verdana" w:ascii="Verdana" w:hAnsi="Verdana"/>
          <w:b w:val="false"/>
          <w:bCs w:val="false"/>
          <w:sz w:val="20"/>
          <w:szCs w:val="20"/>
        </w:rPr>
        <w:t>12.10.3 Para a contagem do prazo estabelecido na letra “a” deste capítulo, será contado a partir do primeiro dia que antecede a data da realização do procedimento.</w:t>
      </w:r>
    </w:p>
    <w:p>
      <w:pPr>
        <w:pStyle w:val="Normal"/>
        <w:tabs>
          <w:tab w:val="clear" w:pos="708"/>
          <w:tab w:val="left" w:pos="850" w:leader="none"/>
        </w:tabs>
        <w:spacing w:lineRule="auto" w:line="240" w:before="57" w:after="57"/>
        <w:ind w:left="-79" w:right="0" w:hanging="0"/>
        <w:jc w:val="both"/>
        <w:rPr>
          <w:rFonts w:ascii="Verdana" w:hAnsi="Verdana"/>
          <w:sz w:val="20"/>
          <w:szCs w:val="20"/>
        </w:rPr>
      </w:pPr>
      <w:r>
        <w:rPr>
          <w:rFonts w:cs="Verdana" w:ascii="Verdana" w:hAnsi="Verdana"/>
          <w:b w:val="false"/>
          <w:bCs w:val="false"/>
          <w:iCs/>
          <w:color w:val="000000"/>
          <w:sz w:val="20"/>
          <w:szCs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spacing w:lineRule="auto" w:line="240"/>
        <w:ind w:left="0" w:right="0" w:hanging="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ind w:left="0" w:right="0" w:hanging="0"/>
        <w:jc w:val="both"/>
        <w:rPr>
          <w:rFonts w:ascii="Verdana" w:hAnsi="Verdana"/>
          <w:sz w:val="20"/>
          <w:szCs w:val="20"/>
        </w:rPr>
      </w:pPr>
      <w:r>
        <w:rPr>
          <w:rFonts w:ascii="Verdana" w:hAnsi="Verdana"/>
          <w:b/>
          <w:bCs/>
          <w:sz w:val="20"/>
          <w:szCs w:val="20"/>
        </w:rPr>
        <w:t>13. CRITÉRIOS DE PAGAMENTO</w:t>
      </w:r>
    </w:p>
    <w:p>
      <w:pPr>
        <w:pStyle w:val="Normal"/>
        <w:spacing w:lineRule="auto" w:line="240"/>
        <w:ind w:left="0" w:right="0" w:hanging="0"/>
        <w:jc w:val="both"/>
        <w:rPr>
          <w:rFonts w:ascii="Verdana" w:hAnsi="Verdana"/>
          <w:sz w:val="20"/>
          <w:szCs w:val="20"/>
        </w:rPr>
      </w:pPr>
      <w:r>
        <w:rPr>
          <w:rFonts w:ascii="Verdana" w:hAnsi="Verdana"/>
          <w:b w:val="false"/>
          <w:bCs w:val="false"/>
          <w:sz w:val="20"/>
          <w:szCs w:val="20"/>
          <w:lang w:eastAsia="en-US"/>
        </w:rPr>
        <w:t xml:space="preserve">13.1. Recebida a Nota Fiscal ou documento de cobrança equivalente, correrá o prazo de </w:t>
      </w:r>
      <w:r>
        <w:rPr>
          <w:rFonts w:eastAsia="Times New Roman" w:cs="Times New Roman" w:ascii="Verdana" w:hAnsi="Verdana"/>
          <w:b w:val="false"/>
          <w:bCs w:val="false"/>
          <w:sz w:val="20"/>
          <w:szCs w:val="20"/>
          <w:lang w:eastAsia="en-US"/>
        </w:rPr>
        <w:t>(30) trinta</w:t>
      </w:r>
      <w:r>
        <w:rPr>
          <w:rFonts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40"/>
        <w:ind w:left="-22" w:right="0" w:hanging="0"/>
        <w:jc w:val="both"/>
        <w:rPr/>
      </w:pPr>
      <w:r>
        <w:rPr>
          <w:rFonts w:ascii="Verdana" w:hAnsi="Verdana"/>
          <w:b w:val="false"/>
          <w:bCs w:val="false"/>
          <w:sz w:val="20"/>
          <w:szCs w:val="20"/>
        </w:rPr>
        <w:t xml:space="preserve">13.2. O prazo de que trata o item anterior será reduzido à metade, mantendo-se a possibilidade de prorrogação, no caso de contratações decorrentes de despesas cujos valores não ultrapassem o limite de que trata o </w:t>
      </w:r>
      <w:r>
        <w:fldChar w:fldCharType="begin"/>
      </w:r>
      <w:r>
        <w:rPr>
          <w:sz w:val="20"/>
          <w:u w:val="none"/>
          <w:b w:val="false"/>
          <w:szCs w:val="20"/>
          <w:bCs w:val="false"/>
          <w:rFonts w:ascii="Verdana" w:hAnsi="Verdana"/>
          <w:color w:val="000000"/>
        </w:rPr>
        <w:instrText xml:space="preserve"> HYPERLINK "http://www.planalto.gov.br/ccivil_03/_ato2019-2022/2021/lei/L14133.htm" \l "art75"</w:instrText>
      </w:r>
      <w:r>
        <w:rPr>
          <w:sz w:val="20"/>
          <w:u w:val="none"/>
          <w:b w:val="false"/>
          <w:szCs w:val="20"/>
          <w:bCs w:val="false"/>
          <w:rFonts w:ascii="Verdana" w:hAnsi="Verdana"/>
          <w:color w:val="000000"/>
        </w:rPr>
        <w:fldChar w:fldCharType="separate"/>
      </w:r>
      <w:r>
        <w:rPr>
          <w:rFonts w:ascii="Verdana" w:hAnsi="Verdana"/>
          <w:b w:val="false"/>
          <w:bCs w:val="false"/>
          <w:color w:val="000000"/>
          <w:sz w:val="20"/>
          <w:szCs w:val="20"/>
          <w:u w:val="none"/>
        </w:rPr>
        <w:t>inciso II do art. 75 da Lei nº 14.133, de 2021</w:t>
      </w:r>
      <w:r>
        <w:rPr>
          <w:sz w:val="20"/>
          <w:u w:val="none"/>
          <w:b w:val="false"/>
          <w:szCs w:val="20"/>
          <w:bCs w:val="false"/>
          <w:rFonts w:ascii="Verdana" w:hAnsi="Verdana"/>
          <w:color w:val="000000"/>
        </w:rPr>
        <w:fldChar w:fldCharType="end"/>
      </w:r>
      <w:r>
        <w:rPr>
          <w:rFonts w:ascii="Verdana" w:hAnsi="Verdana"/>
          <w:b w:val="false"/>
          <w:bCs w:val="false"/>
          <w:color w:val="000000"/>
          <w:sz w:val="20"/>
          <w:szCs w:val="20"/>
          <w:u w:val="none"/>
        </w:rPr>
        <w:t>.</w:t>
      </w:r>
    </w:p>
    <w:p>
      <w:pPr>
        <w:pStyle w:val="Normal"/>
        <w:spacing w:lineRule="auto" w:line="240"/>
        <w:ind w:left="-22" w:right="0" w:hanging="0"/>
        <w:jc w:val="both"/>
        <w:rPr>
          <w:rFonts w:ascii="Verdana" w:hAnsi="Verdana"/>
          <w:sz w:val="20"/>
          <w:szCs w:val="20"/>
        </w:rPr>
      </w:pPr>
      <w:r>
        <w:rPr>
          <w:rFonts w:ascii="Verdana" w:hAnsi="Verdana"/>
          <w:b w:val="false"/>
          <w:bCs w:val="false"/>
          <w:sz w:val="20"/>
          <w:szCs w:val="20"/>
        </w:rPr>
        <w:t xml:space="preserve">1233. Para fins de liquidação, o setor competente deverá verificar se a nota fiscal ou instrumento de cobrança equivalente apresentado expressa os elementos necessários e essenciais do documento, tais como: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O prazo de validade;</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A data da emissão;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Os dados do contrato e do órgão contratante;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 período respectivo de execução do contrato;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xml:space="preserve">- O valor a pagar; e </w:t>
      </w:r>
    </w:p>
    <w:p>
      <w:pPr>
        <w:pStyle w:val="Normal"/>
        <w:tabs>
          <w:tab w:val="clear" w:pos="708"/>
          <w:tab w:val="left" w:pos="563" w:leader="none"/>
        </w:tabs>
        <w:spacing w:lineRule="auto" w:line="240"/>
        <w:ind w:left="432" w:right="0" w:hanging="0"/>
        <w:jc w:val="both"/>
        <w:rPr>
          <w:rFonts w:ascii="Verdana" w:hAnsi="Verdana"/>
          <w:sz w:val="20"/>
          <w:szCs w:val="20"/>
        </w:rPr>
      </w:pPr>
      <w:r>
        <w:rPr>
          <w:rFonts w:ascii="Verdana" w:hAnsi="Verdana"/>
          <w:b w:val="false"/>
          <w:bCs w:val="false"/>
          <w:sz w:val="20"/>
          <w:szCs w:val="20"/>
        </w:rPr>
        <w:t>- Eventual destaque do valor de retenções tributárias cabíveis.</w:t>
      </w:r>
    </w:p>
    <w:p>
      <w:pPr>
        <w:pStyle w:val="Normal"/>
        <w:tabs>
          <w:tab w:val="clear" w:pos="708"/>
          <w:tab w:val="left" w:pos="563" w:leader="none"/>
        </w:tabs>
        <w:spacing w:lineRule="auto" w:line="240"/>
        <w:ind w:left="-22" w:right="0" w:hanging="0"/>
        <w:jc w:val="both"/>
        <w:rPr>
          <w:rFonts w:ascii="Verdana" w:hAnsi="Verdana"/>
          <w:sz w:val="20"/>
          <w:szCs w:val="20"/>
        </w:rPr>
      </w:pPr>
      <w:r>
        <w:rPr>
          <w:rFonts w:ascii="Verdana" w:hAnsi="Verdana"/>
          <w:b w:val="false"/>
          <w:bCs w:val="false"/>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ind w:left="-22" w:right="0" w:hanging="0"/>
        <w:jc w:val="both"/>
        <w:rPr/>
      </w:pPr>
      <w:r>
        <w:rPr>
          <w:rFonts w:ascii="Verdana" w:hAnsi="Verdana"/>
          <w:b w:val="false"/>
          <w:bCs w:val="false"/>
          <w:sz w:val="20"/>
          <w:szCs w:val="20"/>
        </w:rPr>
        <w:t>13.5. A</w:t>
      </w:r>
      <w:r>
        <w:rPr>
          <w:rFonts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LinkdaInternet"/>
          <w:rFonts w:ascii="Verdana" w:hAnsi="Verdana"/>
          <w:b w:val="false"/>
          <w:bCs w:val="false"/>
          <w:sz w:val="20"/>
          <w:szCs w:val="20"/>
          <w:lang w:eastAsia="en-US"/>
        </w:rPr>
        <w:t>.</w:t>
      </w:r>
    </w:p>
    <w:p>
      <w:pPr>
        <w:pStyle w:val="Normal"/>
        <w:spacing w:lineRule="auto" w:line="240"/>
        <w:ind w:left="-22" w:right="0" w:hanging="0"/>
        <w:jc w:val="both"/>
        <w:rPr>
          <w:rFonts w:ascii="Verdana" w:hAnsi="Verdana"/>
          <w:sz w:val="20"/>
          <w:szCs w:val="20"/>
        </w:rPr>
      </w:pPr>
      <w:r>
        <w:rPr>
          <w:rFonts w:ascii="Verdana" w:hAnsi="Verdana"/>
          <w:b w:val="false"/>
          <w:bCs w:val="false"/>
          <w:sz w:val="20"/>
          <w:szCs w:val="20"/>
        </w:rPr>
        <w:t>13.6. O pagamento será efetuado no prazo de até 30 (trinta) dias úteis contados da finalização da liquidação da despesa.</w:t>
      </w:r>
    </w:p>
    <w:p>
      <w:pPr>
        <w:pStyle w:val="Normal"/>
        <w:spacing w:lineRule="auto" w:line="240"/>
        <w:ind w:left="-22" w:right="0" w:hanging="0"/>
        <w:jc w:val="both"/>
        <w:rPr>
          <w:rFonts w:ascii="Verdana" w:hAnsi="Verdana"/>
          <w:sz w:val="20"/>
          <w:szCs w:val="20"/>
        </w:rPr>
      </w:pPr>
      <w:r>
        <w:rPr>
          <w:rFonts w:ascii="Verdana" w:hAnsi="Verdana"/>
          <w:b w:val="false"/>
          <w:bCs w:val="false"/>
          <w:sz w:val="20"/>
          <w:szCs w:val="20"/>
        </w:rPr>
        <w:t>13.7. O pagamento será realizado por meio de ordem bancária, para crédito em banco, agência e conta corrente indicados pelo contratado.</w:t>
      </w:r>
    </w:p>
    <w:p>
      <w:pPr>
        <w:pStyle w:val="Normal"/>
        <w:spacing w:lineRule="auto" w:line="240"/>
        <w:ind w:left="-22" w:right="0" w:hanging="0"/>
        <w:jc w:val="both"/>
        <w:rPr>
          <w:rFonts w:ascii="Verdana" w:hAnsi="Verdana"/>
          <w:sz w:val="20"/>
          <w:szCs w:val="20"/>
        </w:rPr>
      </w:pPr>
      <w:r>
        <w:rPr>
          <w:rFonts w:ascii="Verdana" w:hAnsi="Verdana"/>
          <w:b w:val="false"/>
          <w:bCs w:val="false"/>
          <w:sz w:val="20"/>
          <w:szCs w:val="20"/>
        </w:rPr>
        <w:t>12.8. Será considerada data do pagamento o dia em que constar como emitida a ordem bancária para pagamento.</w:t>
      </w:r>
    </w:p>
    <w:p>
      <w:pPr>
        <w:pStyle w:val="Normal"/>
        <w:spacing w:lineRule="auto" w:line="240"/>
        <w:ind w:left="-79" w:right="0" w:hanging="0"/>
        <w:jc w:val="both"/>
        <w:rPr>
          <w:rFonts w:ascii="Verdana" w:hAnsi="Verdana"/>
          <w:sz w:val="20"/>
          <w:szCs w:val="20"/>
        </w:rPr>
      </w:pPr>
      <w:r>
        <w:rPr>
          <w:rFonts w:ascii="Verdana" w:hAnsi="Verdana"/>
          <w:b w:val="false"/>
          <w:bCs w:val="false"/>
          <w:sz w:val="20"/>
          <w:szCs w:val="20"/>
        </w:rPr>
        <w:t>13.9. Quando do pagamento, será efetuada a retenção tributária prevista na legislação aplicável.</w:t>
      </w:r>
    </w:p>
    <w:p>
      <w:pPr>
        <w:pStyle w:val="Normal"/>
        <w:spacing w:lineRule="auto" w:line="240"/>
        <w:ind w:left="-79" w:right="0" w:hanging="0"/>
        <w:jc w:val="both"/>
        <w:rPr/>
      </w:pPr>
      <w:r>
        <w:rPr>
          <w:rFonts w:ascii="Verdana" w:hAnsi="Verdana"/>
          <w:b w:val="false"/>
          <w:bCs w:val="false"/>
          <w:sz w:val="20"/>
          <w:szCs w:val="20"/>
          <w:lang w:eastAsia="en-US"/>
        </w:rPr>
        <w:t xml:space="preserve">13.10. O contratado regularmente optante pelo Simples Nacional, nos termos da </w:t>
      </w:r>
      <w:hyperlink r:id="rId9">
        <w:r>
          <w:rPr>
            <w:rFonts w:ascii="Verdana" w:hAnsi="Verdana"/>
            <w:b w:val="false"/>
            <w:bCs w:val="false"/>
            <w:sz w:val="20"/>
            <w:szCs w:val="20"/>
            <w:u w:val="none"/>
            <w:lang w:eastAsia="en-US"/>
          </w:rPr>
          <w:t>Lei Complementar nº 123, de 2006</w:t>
        </w:r>
      </w:hyperlink>
      <w:r>
        <w:rPr>
          <w:rFonts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ind w:left="-79" w:right="0" w:hanging="0"/>
        <w:jc w:val="both"/>
        <w:rPr>
          <w:rFonts w:ascii="Verdana" w:hAnsi="Verdana"/>
          <w:sz w:val="20"/>
          <w:szCs w:val="20"/>
        </w:rPr>
      </w:pPr>
      <w:r>
        <w:rPr>
          <w:rFonts w:ascii="Verdana" w:hAnsi="Verdana"/>
          <w:b w:val="false"/>
          <w:bCs w:val="false"/>
          <w:sz w:val="20"/>
          <w:szCs w:val="20"/>
          <w:lang w:eastAsia="en-US"/>
        </w:rPr>
        <w:t>13.11.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PargrafodaLista"/>
        <w:tabs>
          <w:tab w:val="clear" w:pos="708"/>
          <w:tab w:val="left" w:pos="518" w:leader="none"/>
        </w:tabs>
        <w:spacing w:lineRule="auto" w:line="240"/>
        <w:ind w:left="0" w:right="0" w:hanging="0"/>
        <w:jc w:val="both"/>
        <w:rPr>
          <w:rFonts w:ascii="Verdana" w:hAnsi="Verdana"/>
          <w:sz w:val="20"/>
          <w:szCs w:val="20"/>
        </w:rPr>
      </w:pPr>
      <w:r>
        <w:rPr>
          <w:rFonts w:ascii="Verdana" w:hAnsi="Verdana"/>
          <w:b w:val="false"/>
          <w:bCs w:val="false"/>
          <w:color w:val="000000"/>
          <w:sz w:val="20"/>
          <w:szCs w:val="20"/>
        </w:rPr>
        <w:t xml:space="preserve">13.11. </w:t>
      </w:r>
      <w:r>
        <w:rPr>
          <w:rFonts w:ascii="Verdana" w:hAnsi="Verdana"/>
          <w:b w:val="false"/>
          <w:bCs w:val="false"/>
          <w:sz w:val="20"/>
          <w:szCs w:val="20"/>
        </w:rPr>
        <w:t xml:space="preserve"> Após o pra</w:t>
      </w:r>
      <w:r>
        <w:rPr>
          <w:rFonts w:ascii="Verdana" w:hAnsi="Verdana"/>
          <w:sz w:val="20"/>
          <w:szCs w:val="20"/>
        </w:rPr>
        <w:t>zo acima referenciado, será paga multa financeira nos seguintes termos:</w:t>
      </w:r>
    </w:p>
    <w:p>
      <w:pPr>
        <w:pStyle w:val="PargrafodaLista"/>
        <w:tabs>
          <w:tab w:val="clear" w:pos="708"/>
          <w:tab w:val="left" w:pos="518" w:leader="none"/>
        </w:tabs>
        <w:spacing w:lineRule="auto" w:line="240"/>
        <w:ind w:left="0" w:right="0" w:hanging="0"/>
        <w:jc w:val="center"/>
        <w:rPr>
          <w:rFonts w:ascii="Verdana" w:hAnsi="Verdana"/>
          <w:sz w:val="20"/>
          <w:szCs w:val="20"/>
        </w:rPr>
      </w:pPr>
      <w:r>
        <w:rPr>
          <w:rFonts w:cs="Verdana" w:ascii="Verdana" w:hAnsi="Verdana"/>
          <w:sz w:val="20"/>
          <w:szCs w:val="20"/>
        </w:rPr>
        <w:t xml:space="preserve">VM = VF </w:t>
      </w:r>
      <w:r>
        <w:rPr>
          <w:rFonts w:cs="Verdana" w:ascii="Verdana" w:hAnsi="Verdana"/>
          <w:sz w:val="20"/>
          <w:szCs w:val="20"/>
          <w:vertAlign w:val="subscript"/>
        </w:rPr>
        <w:t>*</w:t>
      </w:r>
      <w:r>
        <w:rPr>
          <w:rFonts w:cs="Verdana" w:ascii="Verdana" w:hAnsi="Verdana"/>
          <w:sz w:val="20"/>
          <w:szCs w:val="20"/>
        </w:rPr>
        <w:t xml:space="preserve"> </w:t>
      </w:r>
      <w:r>
        <w:rPr>
          <w:rFonts w:cs="Verdana" w:ascii="Verdana" w:hAnsi="Verdana"/>
          <w:sz w:val="20"/>
          <w:szCs w:val="20"/>
          <w:u w:val="single"/>
        </w:rPr>
        <w:t>0,33</w:t>
      </w:r>
      <w:r>
        <w:rPr>
          <w:rFonts w:cs="Verdana" w:ascii="Verdana" w:hAnsi="Verdana"/>
          <w:sz w:val="20"/>
          <w:szCs w:val="20"/>
        </w:rPr>
        <w:t xml:space="preserve"> </w:t>
      </w:r>
      <w:r>
        <w:rPr>
          <w:rFonts w:cs="Verdana" w:ascii="Verdana" w:hAnsi="Verdana"/>
          <w:sz w:val="20"/>
          <w:szCs w:val="20"/>
          <w:vertAlign w:val="subscript"/>
        </w:rPr>
        <w:t>*</w:t>
      </w:r>
      <w:r>
        <w:rPr>
          <w:rFonts w:cs="Verdana" w:ascii="Verdana" w:hAnsi="Verdana"/>
          <w:sz w:val="20"/>
          <w:szCs w:val="20"/>
        </w:rPr>
        <w:t xml:space="preserve"> ND</w:t>
      </w:r>
    </w:p>
    <w:p>
      <w:pPr>
        <w:pStyle w:val="PargrafodaLista"/>
        <w:tabs>
          <w:tab w:val="clear" w:pos="708"/>
          <w:tab w:val="left" w:pos="518" w:leader="none"/>
        </w:tabs>
        <w:spacing w:lineRule="auto" w:line="240"/>
        <w:ind w:left="0" w:right="0" w:hanging="0"/>
        <w:jc w:val="center"/>
        <w:rPr>
          <w:rFonts w:ascii="Verdana" w:hAnsi="Verdana"/>
          <w:sz w:val="20"/>
          <w:szCs w:val="20"/>
        </w:rPr>
      </w:pPr>
      <w:r>
        <w:rPr>
          <w:rFonts w:eastAsia="Verdana" w:cs="Verdana" w:ascii="Verdana" w:hAnsi="Verdana"/>
          <w:sz w:val="20"/>
          <w:szCs w:val="20"/>
        </w:rPr>
        <w:t xml:space="preserve">        </w:t>
      </w:r>
      <w:r>
        <w:rPr>
          <w:rFonts w:cs="Verdana" w:ascii="Verdana" w:hAnsi="Verdana"/>
          <w:sz w:val="20"/>
          <w:szCs w:val="20"/>
        </w:rPr>
        <w:t>100</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Onde: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VM = Valor da Multa Financeira; </w:t>
      </w:r>
    </w:p>
    <w:p>
      <w:pPr>
        <w:pStyle w:val="Normal"/>
        <w:suppressAutoHyphens w:val="false"/>
        <w:spacing w:lineRule="auto" w:line="240"/>
        <w:rPr>
          <w:rFonts w:ascii="Verdana" w:hAnsi="Verdana"/>
          <w:sz w:val="20"/>
          <w:szCs w:val="20"/>
        </w:rPr>
      </w:pPr>
      <w:r>
        <w:rPr>
          <w:rFonts w:cs="Arial" w:ascii="Verdana" w:hAnsi="Verdana"/>
          <w:color w:val="000000"/>
          <w:sz w:val="20"/>
          <w:szCs w:val="20"/>
        </w:rPr>
        <w:t xml:space="preserve">VF = Valor da Nota Fiscal; </w:t>
      </w:r>
    </w:p>
    <w:p>
      <w:pPr>
        <w:pStyle w:val="PargrafodaLista"/>
        <w:tabs>
          <w:tab w:val="clear" w:pos="708"/>
          <w:tab w:val="left" w:pos="518" w:leader="none"/>
        </w:tabs>
        <w:spacing w:lineRule="auto" w:line="240"/>
        <w:ind w:left="0" w:right="0" w:hanging="0"/>
        <w:rPr>
          <w:rFonts w:ascii="Verdana" w:hAnsi="Verdana"/>
          <w:sz w:val="20"/>
          <w:szCs w:val="20"/>
        </w:rPr>
      </w:pPr>
      <w:r>
        <w:rPr>
          <w:rFonts w:eastAsia="Times New Roman" w:cs="Arial" w:ascii="Verdana" w:hAnsi="Verdana"/>
          <w:color w:val="000000"/>
          <w:sz w:val="20"/>
          <w:szCs w:val="20"/>
        </w:rPr>
        <w:t>ND = Número de dias em atraso.</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u w:val="none"/>
        </w:rPr>
        <w:t xml:space="preserve">13.12.. </w:t>
      </w:r>
      <w:r>
        <w:rPr>
          <w:rFonts w:cs="Arial" w:ascii="Verdana" w:hAnsi="Verdana"/>
          <w:b w:val="false"/>
          <w:bCs w:val="false"/>
          <w:color w:val="000000"/>
          <w:sz w:val="20"/>
          <w:szCs w:val="20"/>
          <w:u w:val="none"/>
        </w:rPr>
        <w:t>A NOTA FISCAL ELETRÔNICA deverá conter o mesmo CNPJ e razão social apresentados quando na proposta, assim como, o número da contratação, o (s) objeto (s), os valores unitários e totais.</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u w:val="none"/>
        </w:rPr>
        <w:t>13.13.</w:t>
      </w:r>
      <w:r>
        <w:rPr>
          <w:rFonts w:cs="Arial" w:ascii="Verdana" w:hAnsi="Verdana"/>
          <w:b w:val="false"/>
          <w:bCs w:val="false"/>
          <w:color w:val="000000"/>
          <w:sz w:val="20"/>
          <w:szCs w:val="20"/>
          <w:u w:val="none"/>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jc w:val="both"/>
        <w:rPr>
          <w:rFonts w:ascii="Verdana" w:hAnsi="Verdana"/>
          <w:sz w:val="20"/>
          <w:szCs w:val="20"/>
        </w:rPr>
      </w:pPr>
      <w:r>
        <w:rPr>
          <w:rFonts w:eastAsia="Times New Roman" w:cs="Arial" w:ascii="Verdana" w:hAnsi="Verdana"/>
          <w:b w:val="false"/>
          <w:bCs w:val="false"/>
          <w:color w:val="000000"/>
          <w:sz w:val="20"/>
          <w:szCs w:val="20"/>
          <w:u w:val="none"/>
        </w:rPr>
        <w:t xml:space="preserve">13.14. </w:t>
      </w:r>
      <w:r>
        <w:rPr>
          <w:rFonts w:cs="Arial" w:ascii="Verdana" w:hAnsi="Verdana"/>
          <w:b w:val="false"/>
          <w:bCs w:val="false"/>
          <w:color w:val="000000"/>
          <w:sz w:val="20"/>
          <w:szCs w:val="20"/>
          <w:u w:val="none"/>
        </w:rPr>
        <w:t>O CONTRATANTE poderá deduzir do pagamento importâncias que a qualquer título lhe forem devidos pela empresa CONTRATADA, em decorrência de descumprimento de suas obrigações.</w:t>
      </w:r>
    </w:p>
    <w:p>
      <w:pPr>
        <w:pStyle w:val="Default"/>
        <w:tabs>
          <w:tab w:val="clear" w:pos="708"/>
          <w:tab w:val="left" w:pos="563" w:leader="none"/>
        </w:tabs>
        <w:spacing w:lineRule="auto" w:line="240"/>
        <w:ind w:left="-22" w:right="0" w:hanging="0"/>
        <w:jc w:val="both"/>
        <w:rPr>
          <w:rFonts w:ascii="Verdana" w:hAnsi="Verdana"/>
          <w:sz w:val="20"/>
          <w:szCs w:val="20"/>
        </w:rPr>
      </w:pPr>
      <w:r>
        <w:rPr>
          <w:rFonts w:cs="Arial" w:ascii="Verdana" w:hAnsi="Verdana"/>
          <w:b w:val="false"/>
          <w:bCs w:val="false"/>
          <w:sz w:val="20"/>
          <w:szCs w:val="20"/>
          <w:u w:val="none"/>
        </w:rPr>
        <w:t xml:space="preserve">13.15. </w:t>
      </w:r>
      <w:r>
        <w:rPr>
          <w:rFonts w:cs="Arial" w:ascii="Verdana" w:hAnsi="Verdana"/>
          <w:b w:val="false"/>
          <w:bCs w:val="false"/>
          <w:sz w:val="20"/>
          <w:szCs w:val="20"/>
          <w:u w:val="none"/>
          <w:lang w:eastAsia="en-US"/>
        </w:rPr>
        <w:t xml:space="preserve">Para a efetivação do pagamento, a CONTRATADA deverá manter as mesmas </w:t>
      </w:r>
      <w:r>
        <w:rPr>
          <w:rFonts w:cs="Arial" w:ascii="Verdana" w:hAnsi="Verdana"/>
          <w:b w:val="false"/>
          <w:bCs w:val="false"/>
          <w:sz w:val="20"/>
          <w:szCs w:val="20"/>
          <w:u w:val="none"/>
          <w:lang w:eastAsia="pt-BR"/>
        </w:rPr>
        <w:t>condições relativas à proposta de preço e a habilitação.</w:t>
      </w:r>
    </w:p>
    <w:p>
      <w:pPr>
        <w:pStyle w:val="Default"/>
        <w:tabs>
          <w:tab w:val="clear" w:pos="708"/>
          <w:tab w:val="left" w:pos="563" w:leader="none"/>
        </w:tabs>
        <w:spacing w:lineRule="auto" w:line="240"/>
        <w:ind w:left="-22" w:right="0" w:hanging="0"/>
        <w:jc w:val="both"/>
        <w:rPr>
          <w:rFonts w:ascii="Verdana" w:hAnsi="Verdana"/>
          <w:sz w:val="20"/>
          <w:szCs w:val="20"/>
        </w:rPr>
      </w:pPr>
      <w:r>
        <w:rPr>
          <w:rFonts w:ascii="Verdana" w:hAnsi="Verdana"/>
          <w:sz w:val="20"/>
          <w:szCs w:val="20"/>
        </w:rPr>
      </w:r>
    </w:p>
    <w:p>
      <w:pPr>
        <w:pStyle w:val="Normal"/>
        <w:suppressAutoHyphens w:val="false"/>
        <w:spacing w:lineRule="auto" w:line="240"/>
        <w:jc w:val="both"/>
        <w:rPr>
          <w:rFonts w:ascii="Verdana" w:hAnsi="Verdana"/>
          <w:sz w:val="20"/>
          <w:szCs w:val="20"/>
        </w:rPr>
      </w:pPr>
      <w:r>
        <w:rPr>
          <w:rFonts w:cs="Arial" w:ascii="Verdana" w:hAnsi="Verdana"/>
          <w:b/>
          <w:bCs/>
          <w:sz w:val="20"/>
          <w:szCs w:val="20"/>
        </w:rPr>
        <w:t>14. CONTRATAÇÕES CORRELATAS E/OU INTERDEPENDENTES</w:t>
      </w:r>
    </w:p>
    <w:p>
      <w:pPr>
        <w:pStyle w:val="Normal"/>
        <w:suppressAutoHyphens w:val="false"/>
        <w:spacing w:lineRule="auto" w:line="240"/>
        <w:jc w:val="both"/>
        <w:rPr>
          <w:rFonts w:ascii="Verdana" w:hAnsi="Verdana"/>
          <w:sz w:val="20"/>
          <w:szCs w:val="20"/>
        </w:rPr>
      </w:pPr>
      <w:r>
        <w:rPr>
          <w:rFonts w:cs="Arial" w:ascii="Verdana" w:hAnsi="Verdana"/>
          <w:b w:val="false"/>
          <w:bCs w:val="false"/>
          <w:sz w:val="20"/>
          <w:szCs w:val="20"/>
        </w:rPr>
        <w:t>14.1. Não se verifica contratações correlatas ou interdependentes para a viabilidade e contratação desta demanda.</w:t>
      </w:r>
    </w:p>
    <w:p>
      <w:pPr>
        <w:pStyle w:val="Normal"/>
        <w:suppressAutoHyphens w:val="false"/>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Normal"/>
        <w:suppressAutoHyphens w:val="false"/>
        <w:spacing w:lineRule="auto" w:line="240"/>
        <w:jc w:val="both"/>
        <w:rPr>
          <w:rFonts w:ascii="Verdana" w:hAnsi="Verdana"/>
          <w:sz w:val="20"/>
          <w:szCs w:val="20"/>
        </w:rPr>
      </w:pPr>
      <w:r>
        <w:rPr>
          <w:rFonts w:cs="Arial" w:ascii="Verdana" w:hAnsi="Verdana"/>
          <w:b/>
          <w:bCs/>
          <w:sz w:val="20"/>
          <w:szCs w:val="20"/>
        </w:rPr>
        <w:t>15. PROVIDÊNCIAS A SEREM ADOTADAS</w:t>
      </w:r>
    </w:p>
    <w:p>
      <w:pPr>
        <w:pStyle w:val="Normal"/>
        <w:spacing w:lineRule="auto" w:line="240"/>
        <w:jc w:val="both"/>
        <w:rPr>
          <w:rFonts w:ascii="Verdana" w:hAnsi="Verdana"/>
          <w:sz w:val="20"/>
          <w:szCs w:val="20"/>
        </w:rPr>
      </w:pPr>
      <w:r>
        <w:rPr>
          <w:rFonts w:cs="Arial" w:ascii="Verdana" w:hAnsi="Verdana"/>
          <w:b w:val="false"/>
          <w:bCs w:val="false"/>
          <w:sz w:val="20"/>
          <w:szCs w:val="20"/>
        </w:rPr>
        <w:t xml:space="preserve">15.1.1 </w:t>
      </w:r>
      <w:r>
        <w:rPr>
          <w:rFonts w:cs="Arial" w:ascii="Verdana" w:hAnsi="Verdana"/>
          <w:b/>
          <w:bCs w:val="false"/>
          <w:sz w:val="20"/>
          <w:szCs w:val="20"/>
        </w:rPr>
        <w:t>Recursos materiais e humanos</w:t>
      </w:r>
    </w:p>
    <w:p>
      <w:pPr>
        <w:pStyle w:val="Normal"/>
        <w:spacing w:lineRule="auto" w:line="240"/>
        <w:jc w:val="both"/>
        <w:rPr>
          <w:rFonts w:ascii="Verdana" w:hAnsi="Verdana"/>
          <w:sz w:val="20"/>
          <w:szCs w:val="20"/>
        </w:rPr>
      </w:pPr>
      <w:r>
        <w:rPr>
          <w:rFonts w:cs="Arial" w:ascii="Verdana" w:hAnsi="Verdana"/>
          <w:b w:val="false"/>
          <w:bCs w:val="false"/>
          <w:sz w:val="20"/>
          <w:szCs w:val="20"/>
        </w:rPr>
        <w:t>15.1.1. Além da Equipe de Gestão do Contrato, as Secretarias envolvidas disponibilizarão recursos materiais e humanos, para acompanhamento dos contratos e da prestação dos serviços pela contratada.</w:t>
      </w:r>
    </w:p>
    <w:p>
      <w:pPr>
        <w:pStyle w:val="Normal"/>
        <w:spacing w:lineRule="auto" w:line="240"/>
        <w:jc w:val="both"/>
        <w:rPr>
          <w:rFonts w:ascii="Verdana" w:hAnsi="Verdana"/>
          <w:sz w:val="20"/>
          <w:szCs w:val="20"/>
        </w:rPr>
      </w:pPr>
      <w:r>
        <w:rPr>
          <w:rFonts w:cs="Arial" w:ascii="Verdana" w:hAnsi="Verdana"/>
          <w:b w:val="false"/>
          <w:bCs w:val="false"/>
          <w:sz w:val="20"/>
          <w:szCs w:val="20"/>
        </w:rPr>
        <w:t xml:space="preserve">15.2. As secretarias envolvidas na contratação deverão acompanhar, fiscalizar, comprovar e relatar, por escrito, as eventuais irregularidades na execução dos serviços, através dos Fiscais de Contrato </w:t>
      </w:r>
      <w:r>
        <w:rPr>
          <w:rFonts w:ascii="Verdana" w:hAnsi="Verdana"/>
          <w:b w:val="false"/>
          <w:bCs w:val="false"/>
          <w:sz w:val="20"/>
          <w:szCs w:val="20"/>
        </w:rPr>
        <w:t>(Técnicos e Administrativos)</w:t>
      </w:r>
      <w:r>
        <w:rPr>
          <w:rFonts w:cs="Arial" w:ascii="Verdana" w:hAnsi="Verdana"/>
          <w:b w:val="false"/>
          <w:bCs w:val="false"/>
          <w:sz w:val="20"/>
          <w:szCs w:val="20"/>
        </w:rPr>
        <w:t>. Deveram ser nomeados quantidade de fiscais suficientes para um efetivo acompanhamento da execução do contrato, devendo ter Fiscal Técnico e Fiscal Administrativo (contrato).</w:t>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jc w:val="both"/>
        <w:rPr>
          <w:rFonts w:ascii="Verdana" w:hAnsi="Verdana"/>
          <w:b w:val="false"/>
          <w:bCs w:val="false"/>
          <w:sz w:val="20"/>
          <w:szCs w:val="20"/>
        </w:rPr>
      </w:pPr>
      <w:r>
        <w:rPr>
          <w:rFonts w:ascii="Verdana" w:hAnsi="Verdana"/>
          <w:b w:val="false"/>
          <w:bCs w:val="false"/>
          <w:sz w:val="20"/>
          <w:szCs w:val="20"/>
        </w:rPr>
      </w:r>
    </w:p>
    <w:p>
      <w:pPr>
        <w:pStyle w:val="Normal"/>
        <w:spacing w:lineRule="auto" w:line="240"/>
        <w:jc w:val="both"/>
        <w:rPr>
          <w:rFonts w:ascii="Verdana" w:hAnsi="Verdana" w:cs="Arial"/>
          <w:sz w:val="20"/>
          <w:szCs w:val="20"/>
        </w:rPr>
      </w:pPr>
      <w:r>
        <w:rPr>
          <w:rFonts w:cs="Arial" w:ascii="Verdana" w:hAnsi="Verdana"/>
          <w:sz w:val="20"/>
          <w:szCs w:val="20"/>
        </w:rPr>
      </w:r>
    </w:p>
    <w:p>
      <w:pPr>
        <w:pStyle w:val="Normal"/>
        <w:spacing w:lineRule="auto" w:line="240"/>
        <w:jc w:val="both"/>
        <w:rPr>
          <w:rFonts w:ascii="Verdana" w:hAnsi="Verdana"/>
          <w:sz w:val="20"/>
          <w:szCs w:val="20"/>
        </w:rPr>
      </w:pPr>
      <w:r>
        <w:rPr>
          <w:rFonts w:cs="Arial" w:ascii="Verdana" w:hAnsi="Verdana"/>
          <w:b w:val="false"/>
          <w:bCs w:val="false"/>
          <w:sz w:val="20"/>
          <w:szCs w:val="20"/>
        </w:rPr>
        <w:t>1</w:t>
      </w:r>
      <w:r>
        <w:rPr>
          <w:rFonts w:cs="Arial" w:ascii="Verdana" w:hAnsi="Verdana"/>
          <w:b/>
          <w:bCs/>
          <w:sz w:val="20"/>
          <w:szCs w:val="20"/>
        </w:rPr>
        <w:t>5.3 Descontinuidades do Fornecimento</w:t>
      </w:r>
    </w:p>
    <w:p>
      <w:pPr>
        <w:pStyle w:val="Normal"/>
        <w:spacing w:lineRule="auto" w:line="240"/>
        <w:jc w:val="both"/>
        <w:rPr>
          <w:rFonts w:ascii="Verdana" w:hAnsi="Verdana"/>
          <w:sz w:val="20"/>
          <w:szCs w:val="20"/>
        </w:rPr>
      </w:pPr>
      <w:r>
        <w:rPr>
          <w:rFonts w:cs="Arial" w:ascii="Verdana" w:hAnsi="Verdana"/>
          <w:b w:val="false"/>
          <w:bCs w:val="false"/>
          <w:sz w:val="20"/>
          <w:szCs w:val="20"/>
        </w:rPr>
        <w:t>15.3.1. No caso de descontinuidade e/ou paralisação, o gestor do contrato tomará as providências cabíveis, de acordo com cláusulas do edital e contrato, visando sanar problemas por ventura ocorridos.</w:t>
      </w:r>
    </w:p>
    <w:p>
      <w:pPr>
        <w:pStyle w:val="Normal"/>
        <w:spacing w:lineRule="auto" w:line="240"/>
        <w:jc w:val="both"/>
        <w:rPr>
          <w:rFonts w:ascii="Verdana" w:hAnsi="Verdana" w:cs="Arial"/>
          <w:b/>
          <w:sz w:val="20"/>
          <w:szCs w:val="20"/>
        </w:rPr>
      </w:pPr>
      <w:r>
        <w:rPr>
          <w:rFonts w:cs="Arial" w:ascii="Verdana" w:hAnsi="Verdana"/>
          <w:b/>
          <w:sz w:val="20"/>
          <w:szCs w:val="20"/>
        </w:rPr>
      </w:r>
    </w:p>
    <w:p>
      <w:pPr>
        <w:pStyle w:val="Normal"/>
        <w:suppressAutoHyphens w:val="false"/>
        <w:spacing w:lineRule="auto" w:line="240"/>
        <w:jc w:val="both"/>
        <w:rPr>
          <w:rFonts w:ascii="Verdana" w:hAnsi="Verdana"/>
          <w:sz w:val="20"/>
          <w:szCs w:val="20"/>
        </w:rPr>
      </w:pPr>
      <w:r>
        <w:rPr>
          <w:rFonts w:cs="Arial" w:ascii="Verdana" w:hAnsi="Verdana"/>
          <w:b/>
          <w:bCs/>
          <w:sz w:val="20"/>
          <w:szCs w:val="20"/>
        </w:rPr>
        <w:t>16. DESCONTINUIDADES DO FORNECIMENTO</w:t>
      </w:r>
    </w:p>
    <w:p>
      <w:pPr>
        <w:pStyle w:val="Normal"/>
        <w:suppressAutoHyphens w:val="false"/>
        <w:spacing w:lineRule="auto" w:line="240"/>
        <w:jc w:val="both"/>
        <w:rPr>
          <w:rFonts w:ascii="Verdana" w:hAnsi="Verdana"/>
          <w:sz w:val="20"/>
          <w:szCs w:val="20"/>
        </w:rPr>
      </w:pPr>
      <w:r>
        <w:rPr>
          <w:rFonts w:cs="Arial" w:ascii="Verdana" w:hAnsi="Verdana"/>
          <w:b w:val="false"/>
          <w:bCs w:val="false"/>
          <w:sz w:val="20"/>
          <w:szCs w:val="20"/>
        </w:rPr>
        <w:t>16.1. No caso de descontinuidade e/ou paralisação, o gestor do contrato tomará as providências cabíveis, de acordo com cláusulas do edital e contrato, visando sanar problemas por ventura ocorridos.</w:t>
      </w:r>
    </w:p>
    <w:p>
      <w:pPr>
        <w:pStyle w:val="Normal"/>
        <w:suppressAutoHyphens w:val="false"/>
        <w:spacing w:lineRule="auto" w:line="240"/>
        <w:jc w:val="both"/>
        <w:rPr>
          <w:rFonts w:ascii="Verdana" w:hAnsi="Verdana"/>
          <w:b/>
          <w:bCs/>
          <w:sz w:val="20"/>
          <w:szCs w:val="20"/>
        </w:rPr>
      </w:pPr>
      <w:r>
        <w:rPr>
          <w:rFonts w:ascii="Verdana" w:hAnsi="Verdana"/>
          <w:b/>
          <w:bCs/>
          <w:sz w:val="20"/>
          <w:szCs w:val="20"/>
        </w:rPr>
      </w:r>
    </w:p>
    <w:p>
      <w:pPr>
        <w:pStyle w:val="Normal"/>
        <w:suppressAutoHyphens w:val="false"/>
        <w:spacing w:lineRule="auto" w:line="240"/>
        <w:jc w:val="both"/>
        <w:rPr>
          <w:rFonts w:ascii="Verdana" w:hAnsi="Verdana"/>
          <w:sz w:val="20"/>
          <w:szCs w:val="20"/>
        </w:rPr>
      </w:pPr>
      <w:r>
        <w:rPr>
          <w:rFonts w:cs="Arial" w:ascii="Verdana" w:hAnsi="Verdana"/>
          <w:b/>
          <w:bCs/>
          <w:sz w:val="20"/>
          <w:szCs w:val="20"/>
        </w:rPr>
        <w:t>17. POSSÍVEIS IMPACTOS AMBIENTAIS</w:t>
      </w:r>
    </w:p>
    <w:p>
      <w:pPr>
        <w:pStyle w:val="Normal"/>
        <w:spacing w:lineRule="auto" w:line="240"/>
        <w:jc w:val="both"/>
        <w:rPr>
          <w:rFonts w:ascii="Verdana" w:hAnsi="Verdana"/>
          <w:sz w:val="20"/>
          <w:szCs w:val="20"/>
        </w:rPr>
      </w:pPr>
      <w:r>
        <w:rPr>
          <w:rFonts w:ascii="Verdana" w:hAnsi="Verdana"/>
          <w:b w:val="false"/>
          <w:bCs w:val="false"/>
          <w:sz w:val="20"/>
          <w:szCs w:val="20"/>
        </w:rPr>
        <w:t>17.1. Não se verifica impactos ambientais da contratação.</w:t>
      </w:r>
    </w:p>
    <w:p>
      <w:pPr>
        <w:pStyle w:val="Normal"/>
        <w:spacing w:lineRule="auto" w:line="240"/>
        <w:jc w:val="both"/>
        <w:rPr>
          <w:rFonts w:ascii="Verdana" w:hAnsi="Verdana"/>
          <w:b/>
          <w:bCs/>
          <w:sz w:val="20"/>
          <w:szCs w:val="20"/>
        </w:rPr>
      </w:pPr>
      <w:r>
        <w:rPr>
          <w:rFonts w:ascii="Verdana" w:hAnsi="Verdana"/>
          <w:b/>
          <w:bCs/>
          <w:sz w:val="20"/>
          <w:szCs w:val="20"/>
        </w:rPr>
      </w:r>
    </w:p>
    <w:p>
      <w:pPr>
        <w:pStyle w:val="Normal"/>
        <w:spacing w:lineRule="auto" w:line="240"/>
        <w:jc w:val="both"/>
        <w:rPr>
          <w:rFonts w:ascii="Verdana" w:hAnsi="Verdana"/>
          <w:sz w:val="20"/>
          <w:szCs w:val="20"/>
        </w:rPr>
      </w:pPr>
      <w:r>
        <w:rPr>
          <w:rFonts w:cs="Arial" w:ascii="Verdana" w:hAnsi="Verdana"/>
          <w:b/>
          <w:bCs/>
          <w:sz w:val="20"/>
          <w:szCs w:val="20"/>
        </w:rPr>
        <w:t>18. DECLARAÇÕES DE VIABILIDADE</w:t>
      </w:r>
    </w:p>
    <w:p>
      <w:pPr>
        <w:pStyle w:val="Normal"/>
        <w:spacing w:lineRule="auto" w:line="240"/>
        <w:jc w:val="both"/>
        <w:rPr>
          <w:rFonts w:ascii="Verdana" w:hAnsi="Verdana"/>
          <w:sz w:val="20"/>
          <w:szCs w:val="20"/>
        </w:rPr>
      </w:pPr>
      <w:r>
        <w:rPr>
          <w:rFonts w:cs="Arial" w:ascii="Verdana" w:hAnsi="Verdana"/>
          <w:b w:val="false"/>
          <w:bCs w:val="false"/>
          <w:sz w:val="20"/>
          <w:szCs w:val="20"/>
        </w:rPr>
        <w:t>18.1. Neste sentido, a equipe de planejamento deste ETP e de acordo com a autoridade deste requerente, declara viável esta contratação, com base nos elementos apresentados neste documento.</w:t>
      </w:r>
    </w:p>
    <w:p>
      <w:pPr>
        <w:pStyle w:val="Normal"/>
        <w:spacing w:lineRule="auto" w:line="24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jc w:val="both"/>
        <w:rPr>
          <w:rFonts w:ascii="Verdana" w:hAnsi="Verdana"/>
          <w:sz w:val="20"/>
          <w:szCs w:val="20"/>
        </w:rPr>
      </w:pPr>
      <w:r>
        <w:rPr>
          <w:rFonts w:cs="Arial" w:ascii="Verdana" w:hAnsi="Verdana"/>
          <w:b/>
          <w:bCs/>
          <w:sz w:val="20"/>
          <w:szCs w:val="20"/>
        </w:rPr>
        <w:t>19. JUSTIFICATIVAS DA VIABILIDADE</w:t>
      </w:r>
    </w:p>
    <w:p>
      <w:pPr>
        <w:pStyle w:val="Normal"/>
        <w:spacing w:lineRule="auto" w:line="240"/>
        <w:ind w:right="143" w:hanging="0"/>
        <w:jc w:val="both"/>
        <w:rPr>
          <w:rFonts w:ascii="Verdana" w:hAnsi="Verdana"/>
          <w:sz w:val="20"/>
          <w:szCs w:val="20"/>
        </w:rPr>
      </w:pPr>
      <w:r>
        <w:rPr>
          <w:rFonts w:cs="Arial" w:ascii="Verdana" w:hAnsi="Verdana"/>
          <w:b w:val="false"/>
          <w:bCs w:val="false"/>
          <w:sz w:val="20"/>
          <w:szCs w:val="20"/>
        </w:rPr>
        <w:t xml:space="preserve">19.1 Considerando que o objeto em tela trata-se de iniciativa da Secretaria Municipal de Educação no sentido da </w:t>
      </w:r>
      <w:r>
        <w:rPr>
          <w:rFonts w:cs="Arial" w:ascii="Verdana" w:hAnsi="Verdana"/>
          <w:b/>
          <w:bCs w:val="false"/>
          <w:sz w:val="20"/>
          <w:szCs w:val="20"/>
        </w:rPr>
        <w:t>c</w:t>
      </w:r>
      <w:r>
        <w:rPr>
          <w:rFonts w:cs="Arial" w:ascii="Verdana" w:hAnsi="Verdana"/>
          <w:b w:val="false"/>
          <w:bCs w:val="false"/>
          <w:sz w:val="20"/>
          <w:szCs w:val="20"/>
        </w:rPr>
        <w:t>ontratação de empresa especializada, por meio de licitação, para prestação de serviços de transporte escolar no Município de São Gabriel da Palha.</w:t>
      </w:r>
    </w:p>
    <w:p>
      <w:pPr>
        <w:pStyle w:val="Normal"/>
        <w:spacing w:lineRule="auto" w:line="240"/>
        <w:ind w:right="143" w:hanging="0"/>
        <w:jc w:val="both"/>
        <w:rPr>
          <w:rFonts w:ascii="Verdana" w:hAnsi="Verdana"/>
          <w:sz w:val="20"/>
          <w:szCs w:val="20"/>
        </w:rPr>
      </w:pPr>
      <w:r>
        <w:rPr>
          <w:rFonts w:cs="Arial" w:ascii="Verdana" w:hAnsi="Verdana"/>
          <w:b w:val="false"/>
          <w:bCs w:val="false"/>
          <w:sz w:val="20"/>
          <w:szCs w:val="20"/>
        </w:rPr>
        <w:t>19.2. Considerando a carência de funcionários em diversas frentes de trabalho no qual vem prejudicando o bom andamento dos serviços e atendimento a população. Com tais serviços a gestão municipal dá mais um passo na busca de atender os estudantes do município da melhor forma possível.</w:t>
      </w:r>
    </w:p>
    <w:p>
      <w:pPr>
        <w:pStyle w:val="Normal"/>
        <w:spacing w:lineRule="auto" w:line="240"/>
        <w:ind w:right="143" w:hanging="0"/>
        <w:jc w:val="both"/>
        <w:rPr>
          <w:rFonts w:ascii="Verdana" w:hAnsi="Verdana" w:cs="Arial"/>
          <w:b w:val="false"/>
          <w:bCs w:val="false"/>
          <w:sz w:val="20"/>
          <w:szCs w:val="20"/>
        </w:rPr>
      </w:pPr>
      <w:r>
        <w:rPr>
          <w:rFonts w:cs="Arial" w:ascii="Verdana" w:hAnsi="Verdana"/>
          <w:b w:val="false"/>
          <w:bCs w:val="false"/>
          <w:sz w:val="20"/>
          <w:szCs w:val="20"/>
        </w:rPr>
      </w:r>
    </w:p>
    <w:p>
      <w:pPr>
        <w:pStyle w:val="Normal"/>
        <w:spacing w:lineRule="auto" w:line="240"/>
        <w:ind w:left="0" w:right="0" w:hanging="0"/>
        <w:jc w:val="both"/>
        <w:rPr>
          <w:rFonts w:ascii="Verdana" w:hAnsi="Verdana"/>
          <w:sz w:val="20"/>
          <w:szCs w:val="20"/>
        </w:rPr>
      </w:pPr>
      <w:r>
        <w:rPr>
          <w:rFonts w:ascii="Verdana" w:hAnsi="Verdana"/>
          <w:b/>
          <w:bCs/>
          <w:sz w:val="20"/>
          <w:szCs w:val="20"/>
        </w:rPr>
        <w:t xml:space="preserve">20. ADEQUAÇÃO ORÇAMENTÁRIA </w:t>
      </w:r>
    </w:p>
    <w:p>
      <w:pPr>
        <w:pStyle w:val="Normal"/>
        <w:spacing w:lineRule="auto" w:line="240"/>
        <w:ind w:left="0" w:right="0" w:hanging="0"/>
        <w:jc w:val="both"/>
        <w:rPr>
          <w:rFonts w:ascii="Verdana" w:hAnsi="Verdana"/>
          <w:sz w:val="20"/>
          <w:szCs w:val="20"/>
        </w:rPr>
      </w:pPr>
      <w:r>
        <w:rPr>
          <w:rFonts w:ascii="Verdana" w:hAnsi="Verdana"/>
          <w:sz w:val="20"/>
          <w:szCs w:val="20"/>
        </w:rPr>
        <w:t>20.1 As despesas decorrentes da presente contratação correrão à conta de recursos específicos consignados no Lei Orçamentária Anual, bem como requisição do sistema presente nos autos, sendo a contratação será atendida pela seguinte dotação:</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ascii="Verdana" w:hAnsi="Verdana"/>
          <w:sz w:val="20"/>
          <w:szCs w:val="20"/>
        </w:rPr>
        <w:t>FICHA – FONTE: 00601-157600000001 no valor de R$ 66.535,82 (sessenta e seis mil quinhentos e trinta e cinco reais e oitenta e quatro centavos)</w:t>
      </w:r>
    </w:p>
    <w:p>
      <w:pPr>
        <w:pStyle w:val="Normal"/>
        <w:spacing w:lineRule="auto" w:line="240"/>
        <w:jc w:val="both"/>
        <w:rPr>
          <w:rFonts w:ascii="Verdana" w:hAnsi="Verdana" w:cs="Arial"/>
          <w:b/>
          <w:sz w:val="20"/>
          <w:szCs w:val="20"/>
          <w:u w:val="single"/>
        </w:rPr>
      </w:pPr>
      <w:r>
        <w:rPr>
          <w:rFonts w:cs="Arial" w:ascii="Verdana" w:hAnsi="Verdana"/>
          <w:b/>
          <w:sz w:val="20"/>
          <w:szCs w:val="20"/>
          <w:u w:val="single"/>
        </w:rPr>
      </w:r>
    </w:p>
    <w:p>
      <w:pPr>
        <w:pStyle w:val="Normal"/>
        <w:spacing w:lineRule="auto" w:line="240"/>
        <w:jc w:val="both"/>
        <w:rPr>
          <w:rFonts w:ascii="Verdana" w:hAnsi="Verdana"/>
          <w:sz w:val="20"/>
          <w:szCs w:val="20"/>
        </w:rPr>
      </w:pPr>
      <w:r>
        <w:rPr>
          <w:rFonts w:ascii="Verdana" w:hAnsi="Verdana"/>
          <w:b/>
          <w:bCs/>
          <w:sz w:val="20"/>
          <w:szCs w:val="20"/>
        </w:rPr>
        <w:t>21.</w:t>
      </w:r>
      <w:r>
        <w:rPr>
          <w:rFonts w:ascii="Verdana" w:hAnsi="Verdana"/>
          <w:sz w:val="20"/>
          <w:szCs w:val="20"/>
        </w:rPr>
        <w:t xml:space="preserve"> </w:t>
      </w:r>
      <w:r>
        <w:rPr>
          <w:rFonts w:cs="Arial" w:ascii="Verdana" w:hAnsi="Verdana"/>
          <w:b/>
          <w:bCs/>
          <w:color w:val="000000"/>
          <w:sz w:val="20"/>
          <w:szCs w:val="20"/>
        </w:rPr>
        <w:t>DOS RESPONSÁVEIS PELA ELABORAÇÃO DO TERMO DE REFERÊNCIA</w:t>
      </w:r>
    </w:p>
    <w:p>
      <w:pPr>
        <w:pStyle w:val="Normal"/>
        <w:spacing w:lineRule="auto" w:line="240"/>
        <w:jc w:val="both"/>
        <w:rPr>
          <w:rFonts w:ascii="Verdana" w:hAnsi="Verdana"/>
          <w:sz w:val="20"/>
          <w:szCs w:val="20"/>
        </w:rPr>
      </w:pPr>
      <w:r>
        <w:rPr>
          <w:rFonts w:eastAsia="Times New Roman" w:cs="Arial" w:ascii="Verdana" w:hAnsi="Verdana"/>
          <w:b w:val="false"/>
          <w:bCs w:val="false"/>
          <w:color w:val="000000"/>
          <w:sz w:val="20"/>
          <w:szCs w:val="20"/>
        </w:rPr>
        <w:t>21</w:t>
      </w:r>
      <w:r>
        <w:rPr>
          <w:rFonts w:cs="Arial" w:ascii="Verdana" w:hAnsi="Verdana"/>
          <w:b w:val="false"/>
          <w:bCs w:val="false"/>
          <w:color w:val="000000"/>
          <w:sz w:val="20"/>
          <w:szCs w:val="20"/>
        </w:rPr>
        <w:t>.1. A compilação d</w:t>
      </w:r>
      <w:r>
        <w:rPr>
          <w:rFonts w:eastAsia="Times New Roman" w:cs="Arial" w:ascii="Verdana" w:hAnsi="Verdana"/>
          <w:b w:val="false"/>
          <w:bCs w:val="false"/>
          <w:color w:val="000000"/>
          <w:sz w:val="20"/>
          <w:szCs w:val="20"/>
        </w:rPr>
        <w:t>e parte das</w:t>
      </w:r>
      <w:r>
        <w:rPr>
          <w:rFonts w:cs="Arial" w:ascii="Verdana" w:hAnsi="Verdana"/>
          <w:b w:val="false"/>
          <w:bCs w:val="false"/>
          <w:color w:val="000000"/>
          <w:sz w:val="20"/>
          <w:szCs w:val="20"/>
        </w:rPr>
        <w:t xml:space="preserve"> informações mencionados </w:t>
      </w:r>
      <w:r>
        <w:rPr>
          <w:rFonts w:eastAsia="Times New Roman" w:cs="Arial" w:ascii="Verdana" w:hAnsi="Verdana"/>
          <w:b w:val="false"/>
          <w:bCs w:val="false"/>
          <w:color w:val="000000"/>
          <w:sz w:val="20"/>
          <w:szCs w:val="20"/>
        </w:rPr>
        <w:t>na</w:t>
      </w:r>
      <w:r>
        <w:rPr>
          <w:rFonts w:cs="Arial" w:ascii="Verdana" w:hAnsi="Verdana"/>
          <w:b w:val="false"/>
          <w:bCs w:val="false"/>
          <w:color w:val="000000"/>
          <w:sz w:val="20"/>
          <w:szCs w:val="20"/>
        </w:rPr>
        <w:t xml:space="preserve"> elaboração deste Termo de Referência foram estruturadas através do ETP – Estudo Técnico Preliminar elaborado pela secretaria requisitante.</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right"/>
        <w:rPr>
          <w:rFonts w:ascii="Verdana" w:hAnsi="Verdana"/>
          <w:sz w:val="20"/>
          <w:szCs w:val="20"/>
        </w:rPr>
      </w:pPr>
      <w:r>
        <w:rPr>
          <w:rFonts w:ascii="Verdana" w:hAnsi="Verdana"/>
          <w:sz w:val="20"/>
          <w:szCs w:val="20"/>
        </w:rPr>
        <w:t>São Gabriel da Palha, 18</w:t>
      </w:r>
      <w:r>
        <w:rPr>
          <w:rFonts w:ascii="Verdana" w:hAnsi="Verdana"/>
          <w:color w:val="000000"/>
          <w:sz w:val="20"/>
          <w:szCs w:val="20"/>
        </w:rPr>
        <w:t xml:space="preserve"> de março de 2025</w:t>
      </w:r>
    </w:p>
    <w:p>
      <w:pPr>
        <w:pStyle w:val="Normal"/>
        <w:spacing w:lineRule="auto" w:line="240"/>
        <w:jc w:val="right"/>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cs="Arial" w:ascii="Verdana" w:hAnsi="Verdana"/>
          <w:b/>
          <w:bCs/>
          <w:sz w:val="20"/>
          <w:szCs w:val="20"/>
        </w:rPr>
        <w:t>Elaborado por:</w:t>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jc w:val="both"/>
        <w:rPr>
          <w:rFonts w:ascii="Verdana" w:hAnsi="Verdana"/>
          <w:sz w:val="20"/>
          <w:szCs w:val="20"/>
        </w:rPr>
      </w:pPr>
      <w:r>
        <w:rPr>
          <w:rFonts w:ascii="Verdana" w:hAnsi="Verdana"/>
          <w:sz w:val="20"/>
          <w:szCs w:val="20"/>
        </w:rPr>
      </w:r>
    </w:p>
    <w:p>
      <w:pPr>
        <w:pStyle w:val="Normal"/>
        <w:spacing w:lineRule="auto" w:line="240"/>
        <w:rPr>
          <w:rFonts w:ascii="Verdana" w:hAnsi="Verdana"/>
          <w:sz w:val="20"/>
          <w:szCs w:val="20"/>
        </w:rPr>
      </w:pPr>
      <w:r>
        <w:rPr>
          <w:rFonts w:cs="Arial" w:ascii="Verdana" w:hAnsi="Verdana"/>
          <w:sz w:val="20"/>
          <w:szCs w:val="20"/>
          <w:u w:val="none"/>
        </w:rPr>
        <w:t>RUTH BARBARA DA SILWA NASCIMENTO</w:t>
      </w:r>
    </w:p>
    <w:p>
      <w:pPr>
        <w:pStyle w:val="Normal"/>
        <w:spacing w:lineRule="auto" w:line="240"/>
        <w:rPr>
          <w:rFonts w:ascii="Verdana" w:hAnsi="Verdana"/>
          <w:sz w:val="20"/>
          <w:szCs w:val="20"/>
        </w:rPr>
      </w:pPr>
      <w:r>
        <w:rPr>
          <w:rFonts w:cs="Arial" w:ascii="Verdana" w:hAnsi="Verdana"/>
          <w:sz w:val="20"/>
          <w:szCs w:val="20"/>
          <w:u w:val="none"/>
        </w:rPr>
        <w:t>Assistente Administrativo</w:t>
      </w:r>
    </w:p>
    <w:p>
      <w:pPr>
        <w:pStyle w:val="Normal"/>
        <w:spacing w:lineRule="auto" w:line="240"/>
        <w:rPr/>
      </w:pPr>
      <w:r>
        <w:rPr>
          <w:rFonts w:cs="Arial" w:ascii="Verdana" w:hAnsi="Verdana"/>
          <w:b w:val="false"/>
          <w:bCs w:val="false"/>
          <w:strike w:val="false"/>
          <w:dstrike w:val="false"/>
          <w:color w:val="000000"/>
          <w:sz w:val="20"/>
          <w:szCs w:val="20"/>
          <w:u w:val="none"/>
        </w:rPr>
        <w:t xml:space="preserve"> </w:t>
      </w:r>
      <w:hyperlink r:id="rId10">
        <w:r>
          <w:rPr>
            <w:rFonts w:cs="Arial" w:ascii="Verdana" w:hAnsi="Verdana"/>
            <w:b w:val="false"/>
            <w:bCs w:val="false"/>
            <w:strike w:val="false"/>
            <w:dstrike w:val="false"/>
            <w:color w:val="000000"/>
            <w:sz w:val="20"/>
            <w:szCs w:val="20"/>
            <w:u w:val="none"/>
          </w:rPr>
          <w:t>Mat. nº 002983</w:t>
        </w:r>
      </w:hyperlink>
    </w:p>
    <w:p>
      <w:pPr>
        <w:pStyle w:val="Normal"/>
        <w:spacing w:lineRule="auto" w:line="240"/>
        <w:jc w:val="both"/>
        <w:rPr>
          <w:rFonts w:ascii="Verdana" w:hAnsi="Verdana"/>
          <w:sz w:val="20"/>
          <w:szCs w:val="20"/>
          <w:u w:val="none"/>
        </w:rPr>
      </w:pPr>
      <w:r>
        <w:rPr/>
      </w:r>
      <w:bookmarkStart w:id="1" w:name="art122%252525252525252525252525252525252"/>
      <w:bookmarkStart w:id="2" w:name="art122%252525252525252525252525252525252"/>
      <w:bookmarkEnd w:id="2"/>
    </w:p>
    <w:sectPr>
      <w:headerReference w:type="default" r:id="rId11"/>
      <w:footerReference w:type="default" r:id="rId12"/>
      <w:type w:val="nextPage"/>
      <w:pgSz w:w="11906" w:h="16838"/>
      <w:pgMar w:left="1517" w:right="905" w:gutter="0" w:header="227" w:top="851" w:footer="567" w:bottom="851"/>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Ecofont_Spranq_eco_Sans">
    <w:charset w:val="00"/>
    <w:family w:val="roman"/>
    <w:pitch w:val="variable"/>
  </w:font>
  <w:font w:name="Verdana">
    <w:charset w:val="01"/>
    <w:family w:val="swiss"/>
    <w:pitch w:val="variable"/>
  </w:font>
  <w:font w:name="Verdana">
    <w:charset w:val="00"/>
    <w:family w:val="roman"/>
    <w:pitch w:val="variable"/>
  </w:font>
  <w:font w:name="Arial Narrow">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pBdr>
        <w:top w:val="single" w:sz="4" w:space="1" w:color="000000"/>
      </w:pBdr>
      <w:tabs>
        <w:tab w:val="left" w:pos="540" w:leader="none"/>
        <w:tab w:val="center" w:pos="4419" w:leader="none"/>
        <w:tab w:val="center" w:pos="4536" w:leader="none"/>
        <w:tab w:val="right" w:pos="8838" w:leader="none"/>
      </w:tabs>
      <w:jc w:val="center"/>
      <w:rPr>
        <w:rFonts w:ascii="Tahoma" w:hAnsi="Tahoma" w:cs="Tahoma"/>
        <w:sz w:val="16"/>
        <w:szCs w:val="16"/>
      </w:rPr>
    </w:pPr>
    <w:r>
      <w:rPr>
        <w:rStyle w:val="Pagenumber"/>
        <w:rFonts w:cs="Tahoma" w:ascii="Tahoma" w:hAnsi="Tahoma"/>
        <w:sz w:val="16"/>
        <w:szCs w:val="16"/>
      </w:rPr>
      <w:t xml:space="preserve">Praça Vicente Glazar, 159 | São Gabriel da Palha-ES | CEP 29780 000  </w:t>
    </w:r>
  </w:p>
  <w:p>
    <w:pPr>
      <w:pStyle w:val="Rodap"/>
      <w:pBdr>
        <w:top w:val="single" w:sz="4" w:space="1" w:color="000000"/>
      </w:pBdr>
      <w:jc w:val="center"/>
      <w:rPr>
        <w:rFonts w:ascii="Tahoma" w:hAnsi="Tahoma" w:cs="Tahoma"/>
        <w:sz w:val="16"/>
        <w:szCs w:val="16"/>
      </w:rPr>
    </w:pPr>
    <w:r>
      <w:rPr>
        <w:rStyle w:val="Pagenumber"/>
        <w:rFonts w:cs="Tahoma" w:ascii="Tahoma" w:hAnsi="Tahoma"/>
        <w:sz w:val="16"/>
        <w:szCs w:val="16"/>
      </w:rPr>
      <w:t>Fone/Fax (027) 3727-1366 | E-mail: compras@saogabriel.es.gov.br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Verdana" w:hAnsi="Verdana"/>
        <w:sz w:val="26"/>
        <w:szCs w:val="26"/>
      </w:rPr>
    </w:pPr>
    <w:r>
      <w:rPr>
        <w:rFonts w:ascii="Verdana" w:hAnsi="Verdana"/>
        <w:sz w:val="26"/>
        <w:szCs w:val="26"/>
      </w:rPr>
    </w:r>
  </w:p>
  <w:p>
    <w:pPr>
      <w:pStyle w:val="Normal"/>
      <w:rPr>
        <w:rFonts w:ascii="Verdana" w:hAnsi="Verdana"/>
        <w:sz w:val="26"/>
        <w:szCs w:val="26"/>
      </w:rPr>
    </w:pPr>
    <w:r>
      <w:rPr>
        <w:rFonts w:ascii="Verdana" w:hAnsi="Verdana"/>
        <w:sz w:val="26"/>
        <w:szCs w:val="26"/>
      </w:rPr>
      <w:drawing>
        <wp:anchor behindDoc="1" distT="0" distB="0" distL="114300" distR="114300" simplePos="0" locked="0" layoutInCell="0" allowOverlap="1" relativeHeight="11">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pPr>
      <w:pStyle w:val="Normal"/>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pPr>
      <w:pStyle w:val="Normal"/>
      <w:jc w:val="center"/>
      <w:rPr>
        <w:rFonts w:ascii="Arial Narrow" w:hAnsi="Arial Narrow"/>
        <w:b/>
        <w:sz w:val="20"/>
      </w:rPr>
    </w:pPr>
    <w:r>
      <w:rPr>
        <w:rFonts w:ascii="Arial Narrow" w:hAnsi="Arial Narrow"/>
        <w:b/>
        <w:sz w:val="20"/>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0"/>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mbria" w:hAnsi="Cambria" w:eastAsia="Calibri" w:cs="Tahoma"/>
      <w:b/>
      <w:bCs/>
      <w:color w:val="365F91" w:themeColor="accent1" w:themeShade="bf"/>
      <w:sz w:val="28"/>
      <w:szCs w:val="28"/>
    </w:rPr>
  </w:style>
  <w:style w:type="character" w:styleId="DefaultParagraphFont">
    <w:name w:val="Default Paragraph Font"/>
    <w:qFormat/>
    <w:rPr/>
  </w:style>
  <w:style w:type="character" w:styleId="Pagenumber">
    <w:name w:val="page number"/>
    <w:basedOn w:val="DefaultParagraphFont"/>
    <w:qFormat/>
    <w:rPr/>
  </w:style>
  <w:style w:type="character" w:styleId="CabealhoChar">
    <w:name w:val="Cabeçalho Char"/>
    <w:basedOn w:val="DefaultParagraphFont"/>
    <w:qFormat/>
    <w:rPr>
      <w:rFonts w:ascii="Times New Roman" w:hAnsi="Times New Roman" w:eastAsia="Times New Roman" w:cs="Times New Roman"/>
      <w:sz w:val="24"/>
      <w:szCs w:val="20"/>
      <w:lang w:eastAsia="pt-BR"/>
    </w:rPr>
  </w:style>
  <w:style w:type="character" w:styleId="RodapChar">
    <w:name w:val="Rodapé Char"/>
    <w:basedOn w:val="DefaultParagraphFont"/>
    <w:qFormat/>
    <w:rPr>
      <w:rFonts w:ascii="Times New Roman" w:hAnsi="Times New Roman" w:eastAsia="Times New Roman" w:cs="Times New Roman"/>
      <w:sz w:val="24"/>
      <w:szCs w:val="20"/>
      <w:lang w:eastAsia="pt-BR"/>
    </w:rPr>
  </w:style>
  <w:style w:type="character" w:styleId="A6">
    <w:name w:val="A6"/>
    <w:qFormat/>
    <w:rPr>
      <w:color w:val="000000"/>
      <w:sz w:val="18"/>
      <w:u w:val="single"/>
    </w:rPr>
  </w:style>
  <w:style w:type="character" w:styleId="LinkdaInternet">
    <w:name w:val="Hyperlink"/>
    <w:rPr>
      <w:color w:val="000080"/>
      <w:u w:val="single"/>
    </w:rPr>
  </w:style>
  <w:style w:type="character" w:styleId="CorpodetextoChar">
    <w:name w:val="Corpo de texto Char"/>
    <w:basedOn w:val="DefaultParagraphFont"/>
    <w:qFormat/>
    <w:rPr>
      <w:rFonts w:ascii="Times New Roman" w:hAnsi="Times New Roman" w:eastAsia="Times New Roman" w:cs="Times New Roman"/>
      <w:sz w:val="24"/>
      <w:szCs w:val="20"/>
      <w:lang w:eastAsia="pt-BR"/>
    </w:rPr>
  </w:style>
  <w:style w:type="character" w:styleId="CitaoChar">
    <w:name w:val="Citação Char"/>
    <w:basedOn w:val="DefaultParagraphFont"/>
    <w:qFormat/>
    <w:rPr>
      <w:rFonts w:ascii="Arial" w:hAnsi="Arial" w:eastAsia="Calibri" w:cs="Tahoma"/>
      <w:i/>
      <w:iCs/>
      <w:color w:val="000000"/>
      <w:sz w:val="20"/>
      <w:szCs w:val="24"/>
      <w:shd w:fill="FFFFCC" w:val="clear"/>
    </w:rPr>
  </w:style>
  <w:style w:type="character" w:styleId="Nivel1Char">
    <w:name w:val="Nivel1 Char"/>
    <w:basedOn w:val="DefaultParagraphFont"/>
    <w:link w:val="Nivel1"/>
    <w:qFormat/>
    <w:rPr>
      <w:rFonts w:ascii="Arial" w:hAnsi="Arial" w:eastAsia="Calibri" w:cs="Arial"/>
      <w:b/>
      <w:color w:val="000000"/>
      <w:sz w:val="32"/>
      <w:szCs w:val="32"/>
    </w:rPr>
  </w:style>
  <w:style w:type="character" w:styleId="Nivel2Char">
    <w:name w:val="Nivel 2 Char"/>
    <w:basedOn w:val="DefaultParagraphFont"/>
    <w:link w:val="Nivel2"/>
    <w:qFormat/>
    <w:rPr>
      <w:rFonts w:ascii="Arial" w:hAnsi="Arial" w:cs="Arial"/>
      <w:color w:val="000000"/>
    </w:rPr>
  </w:style>
  <w:style w:type="character" w:styleId="Strong">
    <w:name w:val="Strong"/>
    <w:qFormat/>
    <w:rPr>
      <w:b/>
      <w:bCs/>
    </w:rPr>
  </w:style>
  <w:style w:type="character" w:styleId="Ttulo1Char">
    <w:name w:val="Título 1 Char"/>
    <w:basedOn w:val="DefaultParagraphFont"/>
    <w:qFormat/>
    <w:rPr>
      <w:rFonts w:ascii="Cambria" w:hAnsi="Cambria" w:eastAsia="Calibri" w:cs="Tahoma"/>
      <w:b/>
      <w:bCs/>
      <w:color w:val="365F91" w:themeColor="accent1" w:themeShade="bf"/>
      <w:sz w:val="28"/>
      <w:szCs w:val="28"/>
      <w:lang w:eastAsia="pt-BR"/>
    </w:rPr>
  </w:style>
  <w:style w:type="character" w:styleId="Marcadores">
    <w:name w:val="Marcadores"/>
    <w:qFormat/>
    <w:rPr>
      <w:rFonts w:ascii="OpenSymbol" w:hAnsi="OpenSymbol" w:eastAsia="OpenSymbol" w:cs="OpenSymbol"/>
    </w:rPr>
  </w:style>
  <w:style w:type="character" w:styleId="Linkdainternetvisitado">
    <w:name w:val="FollowedHyperlink"/>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1">
    <w:name w:val="caption1"/>
    <w:basedOn w:val="Normal"/>
    <w:qFormat/>
    <w:pPr>
      <w:suppressLineNumbers/>
      <w:spacing w:before="120" w:after="120"/>
    </w:pPr>
    <w:rPr>
      <w:rFonts w:cs="Lucida Sans"/>
      <w:i/>
      <w:iCs/>
      <w:szCs w:val="24"/>
    </w:rPr>
  </w:style>
  <w:style w:type="paragraph" w:styleId="CabealhoeRodap">
    <w:name w:val="Cabeçalho e Rodapé"/>
    <w:basedOn w:val="Normal"/>
    <w:qFormat/>
    <w:pPr/>
    <w:rPr/>
  </w:style>
  <w:style w:type="paragraph" w:styleId="Cabealho">
    <w:name w:val="Header"/>
    <w:basedOn w:val="Normal"/>
    <w:link w:val="CabealhoChar"/>
    <w:pPr>
      <w:tabs>
        <w:tab w:val="clear" w:pos="708"/>
        <w:tab w:val="center" w:pos="4419" w:leader="none"/>
        <w:tab w:val="right" w:pos="8838" w:leader="none"/>
      </w:tabs>
    </w:pPr>
    <w:rPr/>
  </w:style>
  <w:style w:type="paragraph" w:styleId="Rodap">
    <w:name w:val="Footer"/>
    <w:basedOn w:val="Normal"/>
    <w:link w:val="RodapChar"/>
    <w:pPr>
      <w:tabs>
        <w:tab w:val="clear" w:pos="708"/>
        <w:tab w:val="center" w:pos="4419" w:leader="none"/>
        <w:tab w:val="right" w:pos="8838" w:leader="none"/>
      </w:tabs>
    </w:pPr>
    <w:rPr/>
  </w:style>
  <w:style w:type="paragraph" w:styleId="ListParagraph">
    <w:name w:val="List Paragraph"/>
    <w:basedOn w:val="Normal"/>
    <w:qFormat/>
    <w:pPr>
      <w:spacing w:before="0" w:after="0"/>
      <w:ind w:left="720" w:hanging="0"/>
      <w:contextualSpacing/>
    </w:pPr>
    <w:rPr/>
  </w:style>
  <w:style w:type="paragraph" w:styleId="Tabelanormal1">
    <w:name w:val="Tabela normal1"/>
    <w:qFormat/>
    <w:pPr>
      <w:widowControl/>
      <w:suppressAutoHyphens w:val="true"/>
      <w:overflowPunct w:val="true"/>
      <w:bidi w:val="0"/>
      <w:spacing w:lineRule="auto" w:line="276" w:before="0" w:after="200"/>
      <w:jc w:val="left"/>
    </w:pPr>
    <w:rPr>
      <w:rFonts w:ascii="Times New Roman" w:hAnsi="Times New Roman" w:eastAsia="Tahoma" w:cs="Times New Roman"/>
      <w:color w:val="auto"/>
      <w:kern w:val="0"/>
      <w:sz w:val="20"/>
      <w:szCs w:val="20"/>
      <w:lang w:val="pt-BR" w:eastAsia="pt-BR" w:bidi="ar-SA"/>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fill="FFFFCC"/>
      <w:suppressAutoHyphens w:val="false"/>
      <w:spacing w:before="120" w:after="0"/>
      <w:jc w:val="both"/>
    </w:pPr>
    <w:rPr>
      <w:rFonts w:ascii="Arial" w:hAnsi="Arial" w:eastAsia="Calibri" w:cs="Tahoma"/>
      <w:i/>
      <w:iCs/>
      <w:color w:val="000000"/>
      <w:sz w:val="20"/>
      <w:szCs w:val="24"/>
      <w:lang w:eastAsia="en-US"/>
    </w:rPr>
  </w:style>
  <w:style w:type="paragraph" w:styleId="Nivel1">
    <w:name w:val="Nivel1"/>
    <w:basedOn w:val="Ttulo1"/>
    <w:next w:val="Normal"/>
    <w:link w:val="Nivel1Char"/>
    <w:qFormat/>
    <w:pPr>
      <w:suppressAutoHyphens w:val="false"/>
      <w:spacing w:lineRule="auto" w:line="276" w:before="480" w:after="120"/>
      <w:jc w:val="both"/>
      <w:outlineLvl w:val="9"/>
    </w:pPr>
    <w:rPr>
      <w:rFonts w:ascii="Arial" w:hAnsi="Arial" w:cs="Arial"/>
      <w:bCs w:val="false"/>
      <w:color w:val="000000" w:themeColor="accent1" w:themeShade="bf"/>
      <w:sz w:val="32"/>
      <w:szCs w:val="32"/>
      <w:lang w:eastAsia="en-US"/>
    </w:rPr>
  </w:style>
  <w:style w:type="paragraph" w:styleId="Standard">
    <w:name w:val="Standard"/>
    <w:qFormat/>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Citao2">
    <w:name w:val="citação 2"/>
    <w:basedOn w:val="Quote"/>
    <w:qFormat/>
    <w:pPr>
      <w:suppressAutoHyphens w:val="true"/>
    </w:pPr>
    <w:rPr>
      <w:kern w:val="2"/>
      <w:szCs w:val="20"/>
      <w:lang w:eastAsia="zh-CN" w:bidi="hi-IN"/>
    </w:rPr>
  </w:style>
  <w:style w:type="paragraph" w:styleId="Nivel2">
    <w:name w:val="Nivel 2"/>
    <w:basedOn w:val="Normal"/>
    <w:link w:val="Nivel2Char"/>
    <w:qFormat/>
    <w:pPr>
      <w:suppressAutoHyphens w:val="false"/>
      <w:spacing w:lineRule="auto" w:line="276" w:before="120" w:after="120"/>
      <w:jc w:val="both"/>
    </w:pPr>
    <w:rPr>
      <w:rFonts w:ascii="Arial" w:hAnsi="Arial" w:eastAsia="Calibri" w:cs="Arial"/>
      <w:color w:val="000000"/>
      <w:sz w:val="22"/>
      <w:szCs w:val="22"/>
      <w:lang w:eastAsia="en-US"/>
    </w:rPr>
  </w:style>
  <w:style w:type="paragraph" w:styleId="Nivel3">
    <w:name w:val="Nivel 3"/>
    <w:basedOn w:val="ListParagraph"/>
    <w:qFormat/>
    <w:pPr>
      <w:tabs>
        <w:tab w:val="clear" w:pos="708"/>
        <w:tab w:val="left" w:pos="360" w:leader="none"/>
      </w:tabs>
      <w:suppressAutoHyphens w:val="false"/>
      <w:spacing w:lineRule="auto" w:line="276" w:before="120" w:after="120"/>
      <w:ind w:left="425" w:hanging="0"/>
      <w:contextualSpacing/>
      <w:jc w:val="both"/>
    </w:pPr>
    <w:rPr>
      <w:rFonts w:ascii="Arial" w:hAnsi="Arial" w:cs="Arial"/>
      <w:sz w:val="20"/>
    </w:rPr>
  </w:style>
  <w:style w:type="paragraph" w:styleId="TableParagraph">
    <w:name w:val="Table Paragraph"/>
    <w:basedOn w:val="Normal"/>
    <w:qFormat/>
    <w:pPr>
      <w:widowControl w:val="false"/>
      <w:suppressAutoHyphens w:val="false"/>
    </w:pPr>
    <w:rPr>
      <w:rFonts w:ascii="Calibri" w:hAnsi="Calibri" w:eastAsia="Calibri" w:cs="Calibri"/>
      <w:sz w:val="22"/>
      <w:szCs w:val="22"/>
      <w:lang w:val="pt-PT" w:eastAsia="en-US"/>
    </w:rPr>
  </w:style>
  <w:style w:type="paragraph" w:styleId="PADRO">
    <w:name w:val="PADRÃO"/>
    <w:qFormat/>
    <w:pPr>
      <w:keepNext w:val="true"/>
      <w:widowControl w:val="false"/>
      <w:shd w:val="clear"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ontedodatabela">
    <w:name w:val="Conteúdo da tabela"/>
    <w:basedOn w:val="Normal"/>
    <w:qFormat/>
    <w:pPr/>
    <w:rPr/>
  </w:style>
  <w:style w:type="paragraph" w:styleId="PargrafodaLista">
    <w:name w:val="Parágrafo da Lista"/>
    <w:basedOn w:val="Normal"/>
    <w:qFormat/>
    <w:pPr>
      <w:spacing w:lineRule="auto" w:line="276" w:before="0" w:after="200"/>
      <w:ind w:left="720" w:hanging="0"/>
      <w:contextualSpacing/>
    </w:pPr>
    <w:rPr>
      <w:rFonts w:ascii="Calibri" w:hAnsi="Calibri" w:eastAsia="Calibri" w:cs="Calibri"/>
      <w:sz w:val="22"/>
      <w:szCs w:val="22"/>
    </w:rPr>
  </w:style>
  <w:style w:type="paragraph" w:styleId="Default">
    <w:name w:val="Default"/>
    <w:qFormat/>
    <w:pPr>
      <w:widowControl/>
      <w:suppressAutoHyphens w:val="true"/>
      <w:overflowPunct w:val="true"/>
      <w:bidi w:val="0"/>
      <w:spacing w:before="0" w:after="0"/>
      <w:jc w:val="left"/>
    </w:pPr>
    <w:rPr>
      <w:rFonts w:ascii="Times New Roman" w:hAnsi="Times New Roman" w:eastAsia="Times New Roman" w:cs="Times New Roman"/>
      <w:color w:val="000000"/>
      <w:kern w:val="0"/>
      <w:sz w:val="24"/>
      <w:szCs w:val="24"/>
      <w:lang w:val="pt-BR" w:eastAsia="zh-CN" w:bidi="ar-SA"/>
    </w:rPr>
  </w:style>
  <w:style w:type="paragraph" w:styleId="Ttulodetabela">
    <w:name w:val="Título de tabela"/>
    <w:basedOn w:val="Contedodatabela"/>
    <w:qFormat/>
    <w:pPr>
      <w:suppressLineNumbers/>
      <w:jc w:val="center"/>
    </w:pPr>
    <w:rPr>
      <w:b/>
      <w:bCs/>
    </w:rPr>
  </w:style>
  <w:style w:type="paragraph" w:styleId="Nivel01">
    <w:name w:val="Nivel 01"/>
    <w:basedOn w:val="Ttulo1"/>
    <w:qFormat/>
    <w:pPr>
      <w:keepNext w:val="true"/>
      <w:keepLines/>
      <w:tabs>
        <w:tab w:val="clear" w:pos="708"/>
        <w:tab w:val="left" w:pos="567" w:leader="none"/>
      </w:tabs>
      <w:spacing w:before="240" w:after="0"/>
      <w:jc w:val="both"/>
      <w:outlineLvl w:val="9"/>
    </w:pPr>
    <w:rPr>
      <w:rFonts w:ascii="Ecofont_Spranq_eco_Sans" w:hAnsi="Ecofont_Spranq_eco_Sans" w:eastAsia="ＭＳ ゴシック" w:cs="Times New Roman"/>
      <w:b/>
      <w:bCs/>
      <w:color w:val="000000" w:themeColor="accent1" w:themeShade="bf"/>
      <w:sz w:val="20"/>
      <w:szCs w:val="20"/>
    </w:rPr>
  </w:style>
  <w:style w:type="paragraph" w:styleId="Caption2">
    <w:name w:val="caption2"/>
    <w:basedOn w:val="Normal"/>
    <w:qFormat/>
    <w:pPr>
      <w:suppressLineNumbers/>
      <w:spacing w:before="120" w:after="120"/>
    </w:pPr>
    <w:rPr>
      <w:rFonts w:cs="Lucida Sans"/>
      <w:i/>
      <w:iCs/>
      <w:szCs w:val="24"/>
    </w:rPr>
  </w:style>
  <w:style w:type="paragraph" w:styleId="Caption3">
    <w:name w:val="caption3"/>
    <w:basedOn w:val="Normal"/>
    <w:qFormat/>
    <w:pPr>
      <w:suppressLineNumbers/>
      <w:spacing w:before="120" w:after="120"/>
    </w:pPr>
    <w:rPr>
      <w:rFonts w:cs="Lucida Sans"/>
      <w:i/>
      <w:iCs/>
      <w:szCs w:val="24"/>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nternet.sefaz.es.gov.br/" TargetMode="External"/><Relationship Id="rId3" Type="http://schemas.openxmlformats.org/officeDocument/2006/relationships/hyperlink" Target="http://www.tst.jus.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s://www.planalto.gov.br/ccivil_03/leis/lcp/lcp123.htm"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841</TotalTime>
  <Application>LibreOffice/7.5.7.1$Windows_X86_64 LibreOffice_project/47eb0cf7efbacdee9b19ae25d6752381ede23126</Application>
  <AppVersion>15.0000</AppVersion>
  <Pages>10</Pages>
  <Words>5020</Words>
  <Characters>29041</Characters>
  <CharactersWithSpaces>33882</CharactersWithSpaces>
  <Paragraphs>232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Barbara da Silwa Nascimento</dc:creator>
  <dc:description/>
  <dc:language>pt-BR</dc:language>
  <cp:lastModifiedBy/>
  <cp:lastPrinted>2025-04-24T15:25:01Z</cp:lastPrinted>
  <dcterms:modified xsi:type="dcterms:W3CDTF">2025-04-24T15:25:09Z</dcterms:modified>
  <cp:revision>131</cp:revision>
  <dc:subject/>
  <dc:title/>
</cp:coreProperties>
</file>

<file path=docProps/custom.xml><?xml version="1.0" encoding="utf-8"?>
<Properties xmlns="http://schemas.openxmlformats.org/officeDocument/2006/custom-properties" xmlns:vt="http://schemas.openxmlformats.org/officeDocument/2006/docPropsVTypes"/>
</file>